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5C5" w:rsidRDefault="005B2925">
      <w:pPr>
        <w:spacing w:after="0"/>
        <w:ind w:right="8811"/>
        <w:jc w:val="right"/>
      </w:pPr>
      <w:r>
        <w:rPr>
          <w:sz w:val="24"/>
        </w:rPr>
        <w:t xml:space="preserve"> </w:t>
      </w:r>
    </w:p>
    <w:p w:rsidR="00E055C5" w:rsidRDefault="005B2925">
      <w:pPr>
        <w:spacing w:after="0"/>
      </w:pPr>
      <w:r>
        <w:rPr>
          <w:sz w:val="16"/>
        </w:rPr>
        <w:t xml:space="preserve"> </w:t>
      </w:r>
    </w:p>
    <w:tbl>
      <w:tblPr>
        <w:tblStyle w:val="TableGrid"/>
        <w:tblW w:w="9581" w:type="dxa"/>
        <w:tblInd w:w="103" w:type="dxa"/>
        <w:tblCellMar>
          <w:top w:w="20" w:type="dxa"/>
          <w:left w:w="5" w:type="dxa"/>
          <w:right w:w="111" w:type="dxa"/>
        </w:tblCellMar>
        <w:tblLook w:val="04A0" w:firstRow="1" w:lastRow="0" w:firstColumn="1" w:lastColumn="0" w:noHBand="0" w:noVBand="1"/>
      </w:tblPr>
      <w:tblGrid>
        <w:gridCol w:w="2662"/>
        <w:gridCol w:w="6919"/>
      </w:tblGrid>
      <w:tr w:rsidR="00E055C5">
        <w:trPr>
          <w:trHeight w:val="625"/>
        </w:trPr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177B7"/>
          </w:tcPr>
          <w:p w:rsidR="00E055C5" w:rsidRDefault="005B2925">
            <w:pPr>
              <w:spacing w:after="49"/>
            </w:pPr>
            <w:r>
              <w:rPr>
                <w:sz w:val="14"/>
              </w:rPr>
              <w:t xml:space="preserve"> </w:t>
            </w:r>
          </w:p>
          <w:p w:rsidR="00E055C5" w:rsidRDefault="005B2925">
            <w:pPr>
              <w:ind w:left="1361"/>
            </w:pPr>
            <w:r>
              <w:rPr>
                <w:b/>
                <w:color w:val="FFFFFF"/>
              </w:rPr>
              <w:t>STANDARDNI OBRAZAC SADRŽAJA DOKUMENTA ZA SAVJETOVANJE</w:t>
            </w:r>
            <w:r>
              <w:t xml:space="preserve"> </w:t>
            </w:r>
          </w:p>
        </w:tc>
      </w:tr>
      <w:tr w:rsidR="00E055C5" w:rsidTr="008A232C">
        <w:trPr>
          <w:trHeight w:val="886"/>
        </w:trPr>
        <w:tc>
          <w:tcPr>
            <w:tcW w:w="2662" w:type="dxa"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EDCEE"/>
            <w:vAlign w:val="center"/>
          </w:tcPr>
          <w:p w:rsidR="00E055C5" w:rsidRDefault="005B2925" w:rsidP="008A232C">
            <w:r>
              <w:rPr>
                <w:color w:val="211F1F"/>
              </w:rPr>
              <w:t>Prethodna analiza tržišta</w:t>
            </w:r>
            <w:r>
              <w:t xml:space="preserve"> </w:t>
            </w:r>
          </w:p>
        </w:tc>
        <w:tc>
          <w:tcPr>
            <w:tcW w:w="6919" w:type="dxa"/>
            <w:tcBorders>
              <w:top w:val="nil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EDCEE"/>
          </w:tcPr>
          <w:p w:rsidR="008A232C" w:rsidRDefault="008A232C" w:rsidP="008A232C">
            <w:pPr>
              <w:rPr>
                <w:color w:val="211F1F"/>
              </w:rPr>
            </w:pPr>
          </w:p>
          <w:p w:rsidR="00E055C5" w:rsidRDefault="005B2925" w:rsidP="008A232C">
            <w:r w:rsidRPr="008A232C">
              <w:rPr>
                <w:color w:val="211F1F"/>
              </w:rPr>
              <w:t>Zakon o javnoj nabavi (NN120/16)</w:t>
            </w:r>
            <w:r>
              <w:t xml:space="preserve"> </w:t>
            </w:r>
          </w:p>
        </w:tc>
      </w:tr>
      <w:tr w:rsidR="00E055C5">
        <w:trPr>
          <w:trHeight w:val="929"/>
        </w:trPr>
        <w:tc>
          <w:tcPr>
            <w:tcW w:w="266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EDEBF6"/>
            <w:vAlign w:val="center"/>
          </w:tcPr>
          <w:p w:rsidR="00E055C5" w:rsidRDefault="005B2925">
            <w:pPr>
              <w:ind w:left="214"/>
            </w:pPr>
            <w:r>
              <w:rPr>
                <w:color w:val="211F1F"/>
              </w:rPr>
              <w:t>Stvaratelj dokumenta</w:t>
            </w:r>
            <w:r>
              <w:t xml:space="preserve"> </w:t>
            </w:r>
          </w:p>
        </w:tc>
        <w:tc>
          <w:tcPr>
            <w:tcW w:w="691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EDEBF6"/>
          </w:tcPr>
          <w:p w:rsidR="008A232C" w:rsidRDefault="005B2925" w:rsidP="008A232C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E055C5" w:rsidRDefault="00E953F1" w:rsidP="008A232C">
            <w:r>
              <w:t>Grad Ozalj</w:t>
            </w:r>
          </w:p>
        </w:tc>
        <w:bookmarkStart w:id="0" w:name="_GoBack"/>
        <w:bookmarkEnd w:id="0"/>
      </w:tr>
      <w:tr w:rsidR="00E055C5">
        <w:trPr>
          <w:trHeight w:val="2981"/>
        </w:trPr>
        <w:tc>
          <w:tcPr>
            <w:tcW w:w="266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EDCEE"/>
            <w:vAlign w:val="center"/>
          </w:tcPr>
          <w:p w:rsidR="00E055C5" w:rsidRDefault="005B2925">
            <w:pPr>
              <w:ind w:left="233"/>
              <w:jc w:val="center"/>
            </w:pPr>
            <w:r>
              <w:rPr>
                <w:color w:val="211F1F"/>
              </w:rPr>
              <w:t>Svrha dokumenta</w:t>
            </w:r>
            <w:r>
              <w:t xml:space="preserve"> </w:t>
            </w:r>
          </w:p>
        </w:tc>
        <w:tc>
          <w:tcPr>
            <w:tcW w:w="691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EDCEE"/>
          </w:tcPr>
          <w:p w:rsidR="00E055C5" w:rsidRDefault="005B2925" w:rsidP="00B67F14">
            <w:pPr>
              <w:spacing w:after="37" w:line="239" w:lineRule="auto"/>
              <w:ind w:left="163" w:right="78"/>
              <w:jc w:val="both"/>
            </w:pPr>
            <w:r>
              <w:t>Sukladno čl. 198. ZJN 2016 provodi se prethodno savjetovanje sa zain</w:t>
            </w:r>
            <w:r w:rsidR="00AE0F8A">
              <w:t>t</w:t>
            </w:r>
            <w:r>
              <w:t>eresiranim gospodarskim subjektima u postupku</w:t>
            </w:r>
            <w:r w:rsidR="0064024A">
              <w:t xml:space="preserve"> javne nabave male vrijednosti- </w:t>
            </w:r>
            <w:r w:rsidR="00076F8F">
              <w:rPr>
                <w:rFonts w:ascii="Tahoma" w:eastAsia="Tahoma" w:hAnsi="Tahoma" w:cs="Tahoma"/>
                <w:sz w:val="20"/>
              </w:rPr>
              <w:t>I</w:t>
            </w:r>
            <w:r w:rsidR="00076F8F" w:rsidRPr="00C26301">
              <w:rPr>
                <w:rFonts w:ascii="Tahoma" w:eastAsia="Tahoma" w:hAnsi="Tahoma" w:cs="Tahoma"/>
                <w:sz w:val="20"/>
              </w:rPr>
              <w:t xml:space="preserve">zvođenje radova na izgradnja nerazvrstane ceste – Kolodvorska cesta – spoj </w:t>
            </w:r>
            <w:proofErr w:type="spellStart"/>
            <w:r w:rsidR="00076F8F" w:rsidRPr="00C26301">
              <w:rPr>
                <w:rFonts w:ascii="Tahoma" w:eastAsia="Tahoma" w:hAnsi="Tahoma" w:cs="Tahoma"/>
                <w:sz w:val="20"/>
              </w:rPr>
              <w:t>Križanićeva</w:t>
            </w:r>
            <w:proofErr w:type="spellEnd"/>
            <w:r w:rsidR="00076F8F" w:rsidRPr="00C26301">
              <w:rPr>
                <w:rFonts w:ascii="Tahoma" w:eastAsia="Tahoma" w:hAnsi="Tahoma" w:cs="Tahoma"/>
                <w:sz w:val="20"/>
              </w:rPr>
              <w:t xml:space="preserve"> -Poduzetnička zona Lug</w:t>
            </w:r>
            <w:r w:rsidR="0064024A">
              <w:t xml:space="preserve">; ev.br. </w:t>
            </w:r>
            <w:r w:rsidR="00076F8F">
              <w:t>2</w:t>
            </w:r>
            <w:r w:rsidR="00E953F1">
              <w:t>/2017</w:t>
            </w:r>
            <w:r>
              <w:t xml:space="preserve">, a sve u svrhu prethodne analize tržišta.  </w:t>
            </w:r>
          </w:p>
          <w:p w:rsidR="00E055C5" w:rsidRDefault="005B2925" w:rsidP="0064024A">
            <w:pPr>
              <w:ind w:left="163" w:right="78"/>
              <w:jc w:val="both"/>
            </w:pPr>
            <w:r>
              <w:t xml:space="preserve">Naručitelj </w:t>
            </w:r>
            <w:r w:rsidR="0064024A">
              <w:t xml:space="preserve">stavlja na savjetovanje:  Dokumentacija – prethodno savjetovanje sa zainteresiranim subjektima za provedbu otvorenog postupka javne nabave- u prilogu  </w:t>
            </w:r>
          </w:p>
        </w:tc>
      </w:tr>
      <w:tr w:rsidR="00E055C5">
        <w:trPr>
          <w:trHeight w:val="365"/>
        </w:trPr>
        <w:tc>
          <w:tcPr>
            <w:tcW w:w="266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EDEBF6"/>
          </w:tcPr>
          <w:p w:rsidR="00E055C5" w:rsidRDefault="005B2925">
            <w:pPr>
              <w:ind w:left="108"/>
            </w:pPr>
            <w:r>
              <w:rPr>
                <w:color w:val="211F1F"/>
              </w:rPr>
              <w:t>Datum dokumenta</w:t>
            </w:r>
            <w:r>
              <w:t xml:space="preserve"> </w:t>
            </w:r>
          </w:p>
        </w:tc>
        <w:tc>
          <w:tcPr>
            <w:tcW w:w="691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EDEBF6"/>
          </w:tcPr>
          <w:p w:rsidR="00E055C5" w:rsidRDefault="00076F8F" w:rsidP="00B67F14">
            <w:pPr>
              <w:ind w:left="166"/>
            </w:pPr>
            <w:r>
              <w:rPr>
                <w:color w:val="211F1F"/>
              </w:rPr>
              <w:t>27</w:t>
            </w:r>
            <w:r w:rsidR="005B2925" w:rsidRPr="00B67F14">
              <w:rPr>
                <w:color w:val="211F1F"/>
              </w:rPr>
              <w:t xml:space="preserve">. </w:t>
            </w:r>
            <w:r w:rsidR="00E953F1">
              <w:rPr>
                <w:color w:val="211F1F"/>
              </w:rPr>
              <w:t>s</w:t>
            </w:r>
            <w:r>
              <w:rPr>
                <w:color w:val="211F1F"/>
              </w:rPr>
              <w:t>tudeni</w:t>
            </w:r>
            <w:r w:rsidR="005B2925" w:rsidRPr="00B67F14">
              <w:rPr>
                <w:color w:val="211F1F"/>
              </w:rPr>
              <w:t xml:space="preserve"> 2017. godine</w:t>
            </w:r>
            <w:r w:rsidR="005B2925">
              <w:t xml:space="preserve"> </w:t>
            </w:r>
          </w:p>
        </w:tc>
      </w:tr>
      <w:tr w:rsidR="00E055C5">
        <w:trPr>
          <w:trHeight w:val="1008"/>
        </w:trPr>
        <w:tc>
          <w:tcPr>
            <w:tcW w:w="958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EDCEE"/>
          </w:tcPr>
          <w:p w:rsidR="00E055C5" w:rsidRDefault="005B2925">
            <w:pPr>
              <w:ind w:left="108"/>
            </w:pPr>
            <w:r>
              <w:rPr>
                <w:color w:val="211F1F"/>
              </w:rPr>
              <w:t xml:space="preserve">– metoda savjetovanja koja će se primijeniti: </w:t>
            </w:r>
            <w:r>
              <w:t xml:space="preserve"> web savjetovanje </w:t>
            </w:r>
          </w:p>
        </w:tc>
      </w:tr>
      <w:tr w:rsidR="00E055C5">
        <w:trPr>
          <w:trHeight w:val="1226"/>
        </w:trPr>
        <w:tc>
          <w:tcPr>
            <w:tcW w:w="958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EDCEE"/>
          </w:tcPr>
          <w:p w:rsidR="00E055C5" w:rsidRDefault="005B2925">
            <w:pPr>
              <w:spacing w:after="14"/>
              <w:ind w:left="108"/>
            </w:pPr>
            <w:r>
              <w:rPr>
                <w:color w:val="211F1F"/>
              </w:rPr>
              <w:t xml:space="preserve">– objašnjenje eventualnih već donesenih odluka i pojašnjenje razloga za odabir pojedine opcije </w:t>
            </w:r>
          </w:p>
          <w:p w:rsidR="00E055C5" w:rsidRDefault="005B2925">
            <w:pPr>
              <w:spacing w:after="11"/>
              <w:ind w:left="108"/>
            </w:pPr>
            <w:r>
              <w:rPr>
                <w:color w:val="211F1F"/>
              </w:rPr>
              <w:t xml:space="preserve"> </w:t>
            </w:r>
          </w:p>
          <w:p w:rsidR="00E055C5" w:rsidRDefault="005B2925">
            <w:r>
              <w:t xml:space="preserve"> Otvoreni postupak javne nabave male vrijednosti sukladno čl.87.st.1. i 88. Zakona o javnoj nabavi </w:t>
            </w:r>
          </w:p>
        </w:tc>
      </w:tr>
      <w:tr w:rsidR="00E055C5">
        <w:trPr>
          <w:trHeight w:val="2002"/>
        </w:trPr>
        <w:tc>
          <w:tcPr>
            <w:tcW w:w="958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EDEBF6"/>
          </w:tcPr>
          <w:p w:rsidR="00E055C5" w:rsidRDefault="005B2925">
            <w:pPr>
              <w:spacing w:after="34" w:line="233" w:lineRule="auto"/>
              <w:ind w:left="264" w:hanging="156"/>
            </w:pPr>
            <w:r>
              <w:rPr>
                <w:color w:val="211F1F"/>
              </w:rPr>
              <w:t xml:space="preserve">– ako je relevantno, različiti izvori mišljenja i informacija te činjenični podaci s temeljitim popratnim referencama (npr. znanstvenika ili skupina korisnika) </w:t>
            </w:r>
          </w:p>
          <w:p w:rsidR="00E055C5" w:rsidRDefault="005B2925">
            <w:pPr>
              <w:spacing w:after="61"/>
              <w:ind w:left="108"/>
            </w:pPr>
            <w:r>
              <w:rPr>
                <w:color w:val="211F1F"/>
              </w:rPr>
              <w:t xml:space="preserve"> </w:t>
            </w:r>
          </w:p>
          <w:p w:rsidR="00E055C5" w:rsidRDefault="005B2925">
            <w:pPr>
              <w:tabs>
                <w:tab w:val="center" w:pos="142"/>
                <w:tab w:val="center" w:pos="1164"/>
              </w:tabs>
            </w:pPr>
            <w:r>
              <w:tab/>
            </w:r>
            <w:r>
              <w:rPr>
                <w:color w:val="211F1F"/>
              </w:rPr>
              <w:t>-</w:t>
            </w:r>
            <w:r>
              <w:rPr>
                <w:rFonts w:ascii="Arial" w:eastAsia="Arial" w:hAnsi="Arial" w:cs="Arial"/>
                <w:color w:val="211F1F"/>
              </w:rPr>
              <w:t xml:space="preserve"> </w:t>
            </w:r>
            <w:r>
              <w:rPr>
                <w:rFonts w:ascii="Arial" w:eastAsia="Arial" w:hAnsi="Arial" w:cs="Arial"/>
                <w:color w:val="211F1F"/>
              </w:rPr>
              <w:tab/>
            </w:r>
            <w:r>
              <w:t xml:space="preserve">nije primjenjivo </w:t>
            </w:r>
          </w:p>
        </w:tc>
      </w:tr>
      <w:tr w:rsidR="00E055C5">
        <w:trPr>
          <w:trHeight w:val="578"/>
        </w:trPr>
        <w:tc>
          <w:tcPr>
            <w:tcW w:w="958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EDCEE"/>
          </w:tcPr>
          <w:p w:rsidR="00E055C5" w:rsidRDefault="005B2925" w:rsidP="00B67F14">
            <w:pPr>
              <w:ind w:left="108"/>
            </w:pPr>
            <w:r w:rsidRPr="002E5554">
              <w:rPr>
                <w:color w:val="211F1F"/>
              </w:rPr>
              <w:t xml:space="preserve">– rok zaprimanja odgovora </w:t>
            </w:r>
            <w:r w:rsidR="00E953F1" w:rsidRPr="002E5554">
              <w:rPr>
                <w:color w:val="211F1F"/>
              </w:rPr>
              <w:t>0</w:t>
            </w:r>
            <w:r w:rsidR="00076F8F">
              <w:rPr>
                <w:color w:val="211F1F"/>
              </w:rPr>
              <w:t>1</w:t>
            </w:r>
            <w:r w:rsidR="00BD165D" w:rsidRPr="002E5554">
              <w:rPr>
                <w:color w:val="211F1F"/>
              </w:rPr>
              <w:t>.</w:t>
            </w:r>
            <w:r w:rsidR="00B67F14" w:rsidRPr="002E5554">
              <w:rPr>
                <w:color w:val="211F1F"/>
              </w:rPr>
              <w:t xml:space="preserve"> </w:t>
            </w:r>
            <w:r w:rsidR="00076F8F">
              <w:rPr>
                <w:color w:val="211F1F"/>
              </w:rPr>
              <w:t>prosinac</w:t>
            </w:r>
            <w:r w:rsidR="00BD165D" w:rsidRPr="002E5554">
              <w:rPr>
                <w:color w:val="211F1F"/>
              </w:rPr>
              <w:t xml:space="preserve"> </w:t>
            </w:r>
            <w:r w:rsidRPr="002E5554">
              <w:rPr>
                <w:color w:val="211F1F"/>
              </w:rPr>
              <w:t>2017</w:t>
            </w:r>
            <w:r w:rsidR="00B67F14" w:rsidRPr="002E5554">
              <w:rPr>
                <w:color w:val="211F1F"/>
              </w:rPr>
              <w:t>.</w:t>
            </w:r>
            <w:r w:rsidRPr="002E5554">
              <w:t xml:space="preserve"> </w:t>
            </w:r>
            <w:r w:rsidR="005F4E17" w:rsidRPr="002E5554">
              <w:t xml:space="preserve">( savjetovanje traje 5 </w:t>
            </w:r>
            <w:r w:rsidR="00E953F1" w:rsidRPr="002E5554">
              <w:t xml:space="preserve">dana: </w:t>
            </w:r>
            <w:r w:rsidR="00076F8F">
              <w:t>27</w:t>
            </w:r>
            <w:r w:rsidR="005F4E17" w:rsidRPr="002E5554">
              <w:t>.</w:t>
            </w:r>
            <w:r w:rsidR="00076F8F">
              <w:t>11</w:t>
            </w:r>
            <w:r w:rsidR="005F4E17" w:rsidRPr="002E5554">
              <w:t>./</w:t>
            </w:r>
            <w:r w:rsidR="00076F8F">
              <w:t>28</w:t>
            </w:r>
            <w:r w:rsidR="005F4E17" w:rsidRPr="002E5554">
              <w:t>.</w:t>
            </w:r>
            <w:r w:rsidR="00076F8F">
              <w:t>11</w:t>
            </w:r>
            <w:r w:rsidR="005F4E17" w:rsidRPr="002E5554">
              <w:t>./</w:t>
            </w:r>
            <w:r w:rsidR="00076F8F">
              <w:t>29</w:t>
            </w:r>
            <w:r w:rsidR="005F4E17" w:rsidRPr="002E5554">
              <w:t>.</w:t>
            </w:r>
            <w:r w:rsidR="00076F8F">
              <w:t>11</w:t>
            </w:r>
            <w:r w:rsidR="005F4E17" w:rsidRPr="002E5554">
              <w:t>./</w:t>
            </w:r>
            <w:r w:rsidR="00076F8F">
              <w:t>30</w:t>
            </w:r>
            <w:r w:rsidR="00E953F1" w:rsidRPr="002E5554">
              <w:t>.</w:t>
            </w:r>
            <w:r w:rsidR="00076F8F">
              <w:t>11.</w:t>
            </w:r>
            <w:r w:rsidR="00E953F1" w:rsidRPr="002E5554">
              <w:t xml:space="preserve"> i </w:t>
            </w:r>
            <w:r w:rsidR="00076F8F">
              <w:t>01</w:t>
            </w:r>
            <w:r w:rsidR="00E953F1" w:rsidRPr="002E5554">
              <w:t>.</w:t>
            </w:r>
            <w:r w:rsidR="00076F8F">
              <w:t>12</w:t>
            </w:r>
            <w:r w:rsidR="005F4E17" w:rsidRPr="002E5554">
              <w:t>. )</w:t>
            </w:r>
          </w:p>
        </w:tc>
      </w:tr>
      <w:tr w:rsidR="00E055C5">
        <w:trPr>
          <w:trHeight w:val="1020"/>
        </w:trPr>
        <w:tc>
          <w:tcPr>
            <w:tcW w:w="958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EDEBF6"/>
          </w:tcPr>
          <w:p w:rsidR="002E5554" w:rsidRDefault="005B2925" w:rsidP="005B2925">
            <w:pPr>
              <w:pStyle w:val="Tijeloteksta"/>
              <w:tabs>
                <w:tab w:val="clear" w:pos="1418"/>
                <w:tab w:val="clear" w:pos="1701"/>
                <w:tab w:val="clear" w:pos="2268"/>
                <w:tab w:val="left" w:pos="0"/>
                <w:tab w:val="left" w:pos="770"/>
              </w:tabs>
              <w:spacing w:before="240"/>
              <w:ind w:righ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1F1F"/>
                <w:sz w:val="22"/>
              </w:rPr>
              <w:t xml:space="preserve">– </w:t>
            </w:r>
            <w:r w:rsidRPr="005B2925">
              <w:rPr>
                <w:rFonts w:asciiTheme="minorHAnsi" w:eastAsia="Calibri" w:hAnsiTheme="minorHAnsi" w:cs="Calibri"/>
                <w:color w:val="211F1F"/>
                <w:sz w:val="22"/>
              </w:rPr>
              <w:t>ime, adresa i, gdje god je moguće, broj telefona i e-mail adresa osobe kojoj se sudionici savjetovanja mogu obratiti za dodatne upite</w:t>
            </w:r>
            <w:r w:rsidR="00B67F14">
              <w:rPr>
                <w:rFonts w:asciiTheme="minorHAnsi" w:eastAsia="Calibri" w:hAnsiTheme="minorHAnsi" w:cs="Calibri"/>
                <w:color w:val="211F1F"/>
                <w:sz w:val="22"/>
              </w:rPr>
              <w:t>:</w:t>
            </w:r>
            <w:r w:rsidR="00B67F1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B2925" w:rsidRDefault="00E953F1" w:rsidP="002E5554">
            <w:pPr>
              <w:pStyle w:val="Tijeloteksta"/>
              <w:numPr>
                <w:ilvl w:val="0"/>
                <w:numId w:val="1"/>
              </w:numPr>
              <w:tabs>
                <w:tab w:val="clear" w:pos="1418"/>
                <w:tab w:val="clear" w:pos="1701"/>
                <w:tab w:val="clear" w:pos="2268"/>
                <w:tab w:val="left" w:pos="0"/>
                <w:tab w:val="left" w:pos="770"/>
              </w:tabs>
              <w:spacing w:before="240"/>
              <w:ind w:right="0"/>
              <w:rPr>
                <w:rFonts w:asciiTheme="minorHAnsi" w:eastAsia="Calibri" w:hAnsiTheme="minorHAnsi" w:cs="Calibri"/>
                <w:color w:val="211F1F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Vesna Cvijak</w:t>
            </w:r>
            <w:r w:rsidR="005B2925" w:rsidRPr="005B292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2E5554">
              <w:rPr>
                <w:rFonts w:asciiTheme="minorHAnsi" w:hAnsiTheme="minorHAnsi" w:cs="Tahoma"/>
                <w:sz w:val="22"/>
                <w:szCs w:val="22"/>
              </w:rPr>
              <w:t>struč.spec.ing.aedif</w:t>
            </w:r>
            <w:proofErr w:type="spellEnd"/>
            <w:r w:rsidR="002E5554">
              <w:rPr>
                <w:rFonts w:asciiTheme="minorHAnsi" w:hAnsiTheme="minorHAnsi" w:cs="Tahoma"/>
                <w:sz w:val="22"/>
                <w:szCs w:val="22"/>
              </w:rPr>
              <w:t>.,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Lidija Bošnjak</w:t>
            </w:r>
            <w:r w:rsidR="00B67F14" w:rsidRPr="005B2925">
              <w:rPr>
                <w:rFonts w:asciiTheme="minorHAnsi" w:hAnsiTheme="minorHAnsi"/>
                <w:color w:val="211F1F"/>
              </w:rPr>
              <w:t xml:space="preserve"> </w:t>
            </w:r>
            <w:proofErr w:type="spellStart"/>
            <w:r w:rsidR="00B67F14" w:rsidRPr="005B2925">
              <w:rPr>
                <w:rFonts w:asciiTheme="minorHAnsi" w:hAnsiTheme="minorHAnsi"/>
                <w:sz w:val="22"/>
                <w:szCs w:val="22"/>
              </w:rPr>
              <w:t>dipl.oec</w:t>
            </w:r>
            <w:proofErr w:type="spellEnd"/>
            <w:r w:rsidR="002E555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2E5554">
              <w:rPr>
                <w:rFonts w:asciiTheme="minorHAnsi" w:hAnsiTheme="minorHAnsi"/>
                <w:sz w:val="22"/>
                <w:szCs w:val="22"/>
              </w:rPr>
              <w:t>Kurilovac</w:t>
            </w:r>
            <w:proofErr w:type="spellEnd"/>
            <w:r w:rsidR="002E5554">
              <w:rPr>
                <w:rFonts w:asciiTheme="minorHAnsi" w:hAnsiTheme="minorHAnsi"/>
                <w:sz w:val="22"/>
                <w:szCs w:val="22"/>
              </w:rPr>
              <w:t xml:space="preserve"> 1, Ozalj</w:t>
            </w:r>
          </w:p>
          <w:p w:rsidR="005B2925" w:rsidRDefault="00E953F1" w:rsidP="005B2925">
            <w:pPr>
              <w:pStyle w:val="Tijeloteksta"/>
              <w:numPr>
                <w:ilvl w:val="0"/>
                <w:numId w:val="1"/>
              </w:numPr>
              <w:tabs>
                <w:tab w:val="clear" w:pos="1418"/>
                <w:tab w:val="clear" w:pos="1701"/>
                <w:tab w:val="clear" w:pos="2268"/>
                <w:tab w:val="left" w:pos="0"/>
                <w:tab w:val="left" w:pos="770"/>
              </w:tabs>
              <w:spacing w:before="240"/>
              <w:ind w:right="0"/>
              <w:rPr>
                <w:rFonts w:asciiTheme="minorHAnsi" w:eastAsia="Calibri" w:hAnsiTheme="minorHAnsi" w:cs="Calibri"/>
                <w:color w:val="211F1F"/>
                <w:sz w:val="22"/>
              </w:rPr>
            </w:pPr>
            <w:r>
              <w:rPr>
                <w:rFonts w:asciiTheme="minorHAnsi" w:eastAsia="Calibri" w:hAnsiTheme="minorHAnsi" w:cs="Calibri"/>
                <w:color w:val="211F1F"/>
                <w:sz w:val="22"/>
              </w:rPr>
              <w:t>tel. 047/731-400</w:t>
            </w:r>
            <w:r w:rsidR="005B2925">
              <w:rPr>
                <w:rFonts w:asciiTheme="minorHAnsi" w:eastAsia="Calibri" w:hAnsiTheme="minorHAnsi" w:cs="Calibri"/>
                <w:color w:val="211F1F"/>
                <w:sz w:val="22"/>
              </w:rPr>
              <w:t xml:space="preserve">: </w:t>
            </w:r>
          </w:p>
          <w:p w:rsidR="005B2925" w:rsidRPr="00E953F1" w:rsidRDefault="005B2925" w:rsidP="005B2925">
            <w:pPr>
              <w:pStyle w:val="Tijeloteksta"/>
              <w:numPr>
                <w:ilvl w:val="0"/>
                <w:numId w:val="1"/>
              </w:numPr>
              <w:tabs>
                <w:tab w:val="clear" w:pos="1418"/>
                <w:tab w:val="clear" w:pos="1701"/>
                <w:tab w:val="clear" w:pos="2268"/>
                <w:tab w:val="left" w:pos="0"/>
                <w:tab w:val="left" w:pos="770"/>
              </w:tabs>
              <w:spacing w:before="240"/>
              <w:ind w:right="0"/>
              <w:rPr>
                <w:rFonts w:asciiTheme="minorHAnsi" w:eastAsia="Calibri" w:hAnsiTheme="minorHAnsi" w:cs="Calibri"/>
                <w:color w:val="211F1F"/>
                <w:sz w:val="22"/>
                <w:u w:val="single"/>
              </w:rPr>
            </w:pPr>
            <w:r w:rsidRPr="005B2925">
              <w:rPr>
                <w:rFonts w:asciiTheme="minorHAnsi" w:eastAsia="Calibri" w:hAnsiTheme="minorHAnsi" w:cs="Calibri"/>
                <w:color w:val="211F1F"/>
                <w:sz w:val="22"/>
              </w:rPr>
              <w:t xml:space="preserve">e-mail: </w:t>
            </w:r>
            <w:hyperlink r:id="rId5" w:history="1">
              <w:r w:rsidR="00E953F1" w:rsidRPr="00C47B6A">
                <w:rPr>
                  <w:rStyle w:val="Hiperveza"/>
                  <w:rFonts w:asciiTheme="minorHAnsi" w:hAnsiTheme="minorHAnsi"/>
                  <w:sz w:val="22"/>
                  <w:szCs w:val="22"/>
                </w:rPr>
                <w:t>vesna.cvijak@ozalj.hr</w:t>
              </w:r>
            </w:hyperlink>
            <w:r w:rsidRPr="005B2925">
              <w:rPr>
                <w:rFonts w:asciiTheme="minorHAnsi" w:hAnsiTheme="minorHAnsi"/>
                <w:sz w:val="22"/>
                <w:szCs w:val="22"/>
              </w:rPr>
              <w:t xml:space="preserve">;  </w:t>
            </w:r>
            <w:hyperlink r:id="rId6" w:history="1">
              <w:r w:rsidR="00E953F1" w:rsidRPr="00C47B6A">
                <w:rPr>
                  <w:rStyle w:val="Hiperveza"/>
                  <w:rFonts w:asciiTheme="minorHAnsi" w:hAnsiTheme="minorHAnsi"/>
                  <w:sz w:val="22"/>
                  <w:szCs w:val="22"/>
                </w:rPr>
                <w:t>lidija.bosnjak@ozalj.hr</w:t>
              </w:r>
            </w:hyperlink>
            <w:r w:rsidR="00B67F14">
              <w:rPr>
                <w:rStyle w:val="Hiperveza"/>
                <w:rFonts w:asciiTheme="minorHAnsi" w:hAnsiTheme="minorHAnsi"/>
                <w:sz w:val="22"/>
                <w:szCs w:val="22"/>
              </w:rPr>
              <w:t>;</w:t>
            </w:r>
            <w:r w:rsidR="00B67F14" w:rsidRPr="00B67F14">
              <w:rPr>
                <w:rStyle w:val="Hiperveza"/>
                <w:rFonts w:asciiTheme="minorHAnsi" w:hAnsiTheme="minorHAnsi"/>
                <w:sz w:val="22"/>
                <w:szCs w:val="22"/>
                <w:u w:val="none"/>
              </w:rPr>
              <w:t xml:space="preserve">  </w:t>
            </w:r>
          </w:p>
          <w:p w:rsidR="00E055C5" w:rsidRDefault="00E055C5">
            <w:pPr>
              <w:ind w:left="264"/>
            </w:pPr>
          </w:p>
        </w:tc>
      </w:tr>
      <w:tr w:rsidR="00E055C5">
        <w:trPr>
          <w:trHeight w:val="1537"/>
        </w:trPr>
        <w:tc>
          <w:tcPr>
            <w:tcW w:w="958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  <w:shd w:val="clear" w:color="auto" w:fill="DEDCEE"/>
          </w:tcPr>
          <w:p w:rsidR="00E055C5" w:rsidRDefault="005B2925">
            <w:pPr>
              <w:spacing w:after="34" w:line="233" w:lineRule="auto"/>
              <w:ind w:left="264" w:right="67" w:hanging="156"/>
            </w:pPr>
            <w:r>
              <w:rPr>
                <w:color w:val="211F1F"/>
              </w:rPr>
              <w:t xml:space="preserve">– izjava da će odgovori biti dostupni, osim kada je onaj koji je poslao odgovor tražio da ostanu povjerljivi </w:t>
            </w:r>
          </w:p>
          <w:p w:rsidR="00E055C5" w:rsidRDefault="005B2925">
            <w:pPr>
              <w:ind w:left="108"/>
            </w:pPr>
            <w:r>
              <w:t xml:space="preserve">Ovime izjavljujemo da će odgovori biti dostupni, osim ako je traženo da budu tajni (povjerljivi). </w:t>
            </w:r>
          </w:p>
        </w:tc>
      </w:tr>
    </w:tbl>
    <w:p w:rsidR="00E055C5" w:rsidRDefault="005B2925">
      <w:pPr>
        <w:spacing w:after="0"/>
        <w:jc w:val="both"/>
      </w:pPr>
      <w:r>
        <w:rPr>
          <w:sz w:val="20"/>
        </w:rPr>
        <w:t xml:space="preserve"> </w:t>
      </w:r>
      <w:r>
        <w:rPr>
          <w:rFonts w:ascii="Malgun Gothic" w:eastAsia="Malgun Gothic" w:hAnsi="Malgun Gothic" w:cs="Malgun Gothic"/>
          <w:sz w:val="20"/>
        </w:rPr>
        <w:t xml:space="preserve"> </w:t>
      </w:r>
    </w:p>
    <w:p w:rsidR="00E055C5" w:rsidRDefault="005B2925">
      <w:pPr>
        <w:pBdr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</w:pBdr>
        <w:shd w:val="clear" w:color="auto" w:fill="EDEBF6"/>
        <w:spacing w:after="36" w:line="239" w:lineRule="auto"/>
        <w:ind w:left="216"/>
      </w:pPr>
      <w:r>
        <w:rPr>
          <w:color w:val="211F1F"/>
        </w:rPr>
        <w:lastRenderedPageBreak/>
        <w:t>– pojašnjenje eventualnih ograničenja koja bi mogla dovesti u pitanje potpunu primjenu smjernica</w:t>
      </w:r>
      <w:r>
        <w:t xml:space="preserve"> </w:t>
      </w:r>
      <w:r>
        <w:rPr>
          <w:color w:val="211F1F"/>
        </w:rPr>
        <w:t xml:space="preserve">Kodeksa </w:t>
      </w:r>
    </w:p>
    <w:p w:rsidR="00E055C5" w:rsidRDefault="005B2925">
      <w:pPr>
        <w:pBdr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</w:pBdr>
        <w:shd w:val="clear" w:color="auto" w:fill="EDEBF6"/>
        <w:spacing w:after="66"/>
        <w:ind w:left="216"/>
      </w:pPr>
      <w:r>
        <w:rPr>
          <w:color w:val="211F1F"/>
        </w:rPr>
        <w:t xml:space="preserve"> </w:t>
      </w:r>
    </w:p>
    <w:p w:rsidR="00E055C5" w:rsidRDefault="005F4E17">
      <w:pPr>
        <w:pBdr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</w:pBdr>
        <w:shd w:val="clear" w:color="auto" w:fill="EDEBF6"/>
        <w:tabs>
          <w:tab w:val="center" w:pos="1272"/>
        </w:tabs>
        <w:spacing w:after="695"/>
        <w:ind w:left="216"/>
      </w:pPr>
      <w:r>
        <w:rPr>
          <w:color w:val="211F1F"/>
        </w:rPr>
        <w:t>-</w:t>
      </w:r>
      <w:r w:rsidR="005B2925">
        <w:rPr>
          <w:rFonts w:ascii="Arial" w:eastAsia="Arial" w:hAnsi="Arial" w:cs="Arial"/>
          <w:color w:val="211F1F"/>
        </w:rPr>
        <w:t xml:space="preserve"> </w:t>
      </w:r>
      <w:r w:rsidR="005B2925">
        <w:rPr>
          <w:rFonts w:ascii="Arial" w:eastAsia="Arial" w:hAnsi="Arial" w:cs="Arial"/>
          <w:color w:val="211F1F"/>
        </w:rPr>
        <w:tab/>
      </w:r>
      <w:r w:rsidR="005B2925">
        <w:t xml:space="preserve">nije primjenjivo </w:t>
      </w:r>
    </w:p>
    <w:p w:rsidR="00E055C5" w:rsidRDefault="005B2925" w:rsidP="0064024A">
      <w:pPr>
        <w:spacing w:after="13611"/>
      </w:pPr>
      <w:r>
        <w:t xml:space="preserve"> </w:t>
      </w:r>
      <w:r>
        <w:rPr>
          <w:sz w:val="20"/>
        </w:rPr>
        <w:t xml:space="preserve"> </w:t>
      </w:r>
      <w:r>
        <w:rPr>
          <w:rFonts w:ascii="Malgun Gothic" w:eastAsia="Malgun Gothic" w:hAnsi="Malgun Gothic" w:cs="Malgun Gothic"/>
          <w:sz w:val="20"/>
        </w:rPr>
        <w:t xml:space="preserve"> </w:t>
      </w:r>
    </w:p>
    <w:sectPr w:rsidR="00E055C5">
      <w:pgSz w:w="11899" w:h="16841"/>
      <w:pgMar w:top="228" w:right="1901" w:bottom="65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92DFF"/>
    <w:multiLevelType w:val="hybridMultilevel"/>
    <w:tmpl w:val="969A22F8"/>
    <w:lvl w:ilvl="0" w:tplc="89D08C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C5"/>
    <w:rsid w:val="00076F8F"/>
    <w:rsid w:val="002E5554"/>
    <w:rsid w:val="005B2925"/>
    <w:rsid w:val="005F4E17"/>
    <w:rsid w:val="0064024A"/>
    <w:rsid w:val="008A232C"/>
    <w:rsid w:val="00AE0F8A"/>
    <w:rsid w:val="00B67F14"/>
    <w:rsid w:val="00BD165D"/>
    <w:rsid w:val="00E055C5"/>
    <w:rsid w:val="00E953F1"/>
    <w:rsid w:val="00FC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E2100-CADC-4EAC-847D-0CC40A27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rsid w:val="005B2925"/>
    <w:pPr>
      <w:tabs>
        <w:tab w:val="left" w:pos="1418"/>
        <w:tab w:val="left" w:pos="1701"/>
        <w:tab w:val="left" w:pos="2268"/>
      </w:tabs>
      <w:spacing w:after="0" w:line="240" w:lineRule="auto"/>
      <w:ind w:right="609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B2925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5B2925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953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ija.bosnjak@ozalj.hr" TargetMode="External"/><Relationship Id="rId5" Type="http://schemas.openxmlformats.org/officeDocument/2006/relationships/hyperlink" Target="mailto:vesna.cvijak@oza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Smjernica_kb_2.indd</vt:lpstr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subject/>
  <dc:creator>Brigita</dc:creator>
  <cp:keywords/>
  <cp:lastModifiedBy>Vladimir Žakula</cp:lastModifiedBy>
  <cp:revision>3</cp:revision>
  <dcterms:created xsi:type="dcterms:W3CDTF">2017-11-27T10:01:00Z</dcterms:created>
  <dcterms:modified xsi:type="dcterms:W3CDTF">2017-11-27T12:56:00Z</dcterms:modified>
</cp:coreProperties>
</file>