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r>
        <w:rPr/>
        <w:drawing>
          <wp:anchor distT="0" distB="0" distL="0" distR="0" allowOverlap="1" layoutInCell="1" locked="0" behindDoc="1" simplePos="0" relativeHeight="472203776">
            <wp:simplePos x="0" y="0"/>
            <wp:positionH relativeFrom="page">
              <wp:posOffset>0</wp:posOffset>
            </wp:positionH>
            <wp:positionV relativeFrom="page">
              <wp:posOffset>48767</wp:posOffset>
            </wp:positionV>
            <wp:extent cx="7543800" cy="10619232"/>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43800" cy="10619232"/>
                    </a:xfrm>
                    <a:prstGeom prst="rect">
                      <a:avLst/>
                    </a:prstGeom>
                  </pic:spPr>
                </pic:pic>
              </a:graphicData>
            </a:graphic>
          </wp:anchor>
        </w:drawing>
      </w:r>
    </w:p>
    <w:p>
      <w:pPr>
        <w:spacing w:after="0"/>
        <w:rPr>
          <w:sz w:val="17"/>
        </w:rPr>
        <w:sectPr>
          <w:type w:val="continuous"/>
          <w:pgSz w:w="11880" w:h="16800"/>
          <w:pgMar w:top="1600" w:bottom="280" w:left="1680" w:right="168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399"/>
        <w:gridCol w:w="4672"/>
        <w:gridCol w:w="1833"/>
        <w:gridCol w:w="1831"/>
        <w:gridCol w:w="1831"/>
        <w:gridCol w:w="1831"/>
        <w:gridCol w:w="1116"/>
        <w:gridCol w:w="1120"/>
      </w:tblGrid>
      <w:tr>
        <w:trPr>
          <w:trHeight w:val="828" w:hRule="atLeast"/>
        </w:trPr>
        <w:tc>
          <w:tcPr>
            <w:tcW w:w="15367" w:type="dxa"/>
            <w:gridSpan w:val="9"/>
            <w:tcBorders>
              <w:left w:val="nil"/>
              <w:bottom w:val="single" w:sz="8" w:space="0" w:color="000000"/>
              <w:right w:val="nil"/>
            </w:tcBorders>
            <w:shd w:val="clear" w:color="auto" w:fill="C0C0C0"/>
          </w:tcPr>
          <w:p>
            <w:pPr>
              <w:pStyle w:val="TableParagraph"/>
              <w:spacing w:before="56"/>
              <w:ind w:left="1640"/>
              <w:jc w:val="left"/>
              <w:rPr>
                <w:rFonts w:ascii="Century" w:hAnsi="Century"/>
                <w:sz w:val="28"/>
              </w:rPr>
            </w:pPr>
            <w:r>
              <w:rPr>
                <w:rFonts w:ascii="Century" w:hAnsi="Century"/>
                <w:sz w:val="28"/>
              </w:rPr>
              <w:t>POLUGODIŠNJI IZVJEŠTAJ O IZVRŠENJU PRORAČUNA GRADA OZLJA ZA 2014. GODINU</w:t>
            </w:r>
          </w:p>
          <w:p>
            <w:pPr>
              <w:pStyle w:val="TableParagraph"/>
              <w:spacing w:before="67"/>
              <w:ind w:left="5485"/>
              <w:jc w:val="left"/>
              <w:rPr>
                <w:rFonts w:ascii="Times New Roman" w:hAnsi="Times New Roman"/>
                <w:sz w:val="22"/>
              </w:rPr>
            </w:pPr>
            <w:r>
              <w:rPr>
                <w:rFonts w:ascii="Times New Roman" w:hAnsi="Times New Roman"/>
                <w:sz w:val="22"/>
              </w:rPr>
              <w:t>A. RAČUN PRIHODA I RASHODA (PRIHODI)</w:t>
            </w:r>
          </w:p>
        </w:tc>
      </w:tr>
      <w:tr>
        <w:trPr>
          <w:trHeight w:val="846" w:hRule="atLeast"/>
        </w:trPr>
        <w:tc>
          <w:tcPr>
            <w:tcW w:w="1133"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13"/>
              <w:ind w:left="231" w:right="229" w:hanging="49"/>
              <w:jc w:val="center"/>
              <w:rPr>
                <w:sz w:val="20"/>
              </w:rPr>
            </w:pPr>
            <w:r>
              <w:rPr>
                <w:sz w:val="20"/>
              </w:rPr>
              <w:t>Račun/ Pozicija</w:t>
            </w:r>
          </w:p>
          <w:p>
            <w:pPr>
              <w:pStyle w:val="TableParagraph"/>
              <w:spacing w:before="89"/>
              <w:ind w:left="11"/>
              <w:jc w:val="center"/>
              <w:rPr>
                <w:sz w:val="18"/>
              </w:rPr>
            </w:pPr>
            <w:r>
              <w:rPr>
                <w:w w:val="100"/>
                <w:sz w:val="18"/>
              </w:rPr>
              <w:t>1</w:t>
            </w:r>
          </w:p>
        </w:tc>
        <w:tc>
          <w:tcPr>
            <w:tcW w:w="467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2142" w:right="2096"/>
              <w:jc w:val="center"/>
              <w:rPr>
                <w:sz w:val="20"/>
              </w:rPr>
            </w:pPr>
            <w:r>
              <w:rPr>
                <w:sz w:val="20"/>
              </w:rPr>
              <w:t>Opis</w:t>
            </w:r>
          </w:p>
          <w:p>
            <w:pPr>
              <w:pStyle w:val="TableParagraph"/>
              <w:spacing w:before="2"/>
              <w:jc w:val="left"/>
              <w:rPr>
                <w:rFonts w:ascii="Times New Roman"/>
                <w:sz w:val="29"/>
              </w:rPr>
            </w:pPr>
          </w:p>
          <w:p>
            <w:pPr>
              <w:pStyle w:val="TableParagraph"/>
              <w:spacing w:before="0"/>
              <w:ind w:left="41"/>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8"/>
              <w:ind w:left="146" w:right="132"/>
              <w:jc w:val="center"/>
              <w:rPr>
                <w:sz w:val="20"/>
              </w:rPr>
            </w:pPr>
            <w:r>
              <w:rPr>
                <w:sz w:val="20"/>
              </w:rPr>
              <w:t>Izvršenje 01.01.-</w:t>
            </w:r>
          </w:p>
          <w:p>
            <w:pPr>
              <w:pStyle w:val="TableParagraph"/>
              <w:spacing w:line="241" w:lineRule="exact" w:before="0"/>
              <w:ind w:left="95" w:right="138"/>
              <w:jc w:val="center"/>
              <w:rPr>
                <w:sz w:val="20"/>
              </w:rPr>
            </w:pPr>
            <w:r>
              <w:rPr>
                <w:sz w:val="20"/>
              </w:rPr>
              <w:t>30.06.2013.</w:t>
            </w:r>
          </w:p>
          <w:p>
            <w:pPr>
              <w:pStyle w:val="TableParagraph"/>
              <w:spacing w:before="91"/>
              <w:ind w:left="16"/>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0" w:right="131"/>
              <w:jc w:val="center"/>
              <w:rPr>
                <w:sz w:val="20"/>
              </w:rPr>
            </w:pPr>
            <w:r>
              <w:rPr>
                <w:sz w:val="20"/>
              </w:rPr>
              <w:t>Izvorni plan za 2014. godinu</w:t>
            </w:r>
          </w:p>
          <w:p>
            <w:pPr>
              <w:pStyle w:val="TableParagraph"/>
              <w:spacing w:before="89"/>
              <w:ind w:left="33"/>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70" w:right="131"/>
              <w:jc w:val="center"/>
              <w:rPr>
                <w:sz w:val="20"/>
              </w:rPr>
            </w:pPr>
            <w:r>
              <w:rPr>
                <w:sz w:val="20"/>
              </w:rPr>
              <w:t>Tekući plan za 2014. godinu</w:t>
            </w:r>
          </w:p>
          <w:p>
            <w:pPr>
              <w:pStyle w:val="TableParagraph"/>
              <w:spacing w:before="94"/>
              <w:jc w:val="center"/>
              <w:rPr>
                <w:sz w:val="18"/>
              </w:rPr>
            </w:pPr>
            <w:r>
              <w:rPr>
                <w:w w:val="100"/>
                <w:sz w:val="18"/>
              </w:rPr>
              <w:t>5</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2"/>
              <w:jc w:val="center"/>
              <w:rPr>
                <w:sz w:val="20"/>
              </w:rPr>
            </w:pPr>
            <w:r>
              <w:rPr>
                <w:sz w:val="20"/>
              </w:rPr>
              <w:t>Izvršenje 01.01.-</w:t>
            </w:r>
          </w:p>
          <w:p>
            <w:pPr>
              <w:pStyle w:val="TableParagraph"/>
              <w:spacing w:line="241" w:lineRule="exact" w:before="0"/>
              <w:ind w:left="102" w:right="131"/>
              <w:jc w:val="center"/>
              <w:rPr>
                <w:sz w:val="20"/>
              </w:rPr>
            </w:pPr>
            <w:r>
              <w:rPr>
                <w:sz w:val="20"/>
              </w:rPr>
              <w:t>30.06.2014.</w:t>
            </w:r>
          </w:p>
          <w:p>
            <w:pPr>
              <w:pStyle w:val="TableParagraph"/>
              <w:spacing w:before="90"/>
              <w:ind w:left="29"/>
              <w:jc w:val="center"/>
              <w:rPr>
                <w:sz w:val="18"/>
              </w:rPr>
            </w:pPr>
            <w:r>
              <w:rPr>
                <w:w w:val="100"/>
                <w:sz w:val="18"/>
              </w:rPr>
              <w:t>6</w:t>
            </w:r>
          </w:p>
        </w:tc>
        <w:tc>
          <w:tcPr>
            <w:tcW w:w="1116"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268" w:right="250"/>
              <w:jc w:val="center"/>
              <w:rPr>
                <w:sz w:val="20"/>
              </w:rPr>
            </w:pPr>
            <w:r>
              <w:rPr>
                <w:w w:val="95"/>
                <w:sz w:val="20"/>
              </w:rPr>
              <w:t>Indeks </w:t>
            </w:r>
            <w:r>
              <w:rPr>
                <w:sz w:val="20"/>
              </w:rPr>
              <w:t>6/3</w:t>
            </w:r>
          </w:p>
          <w:p>
            <w:pPr>
              <w:pStyle w:val="TableParagraph"/>
              <w:spacing w:before="89"/>
              <w:ind w:left="20"/>
              <w:jc w:val="center"/>
              <w:rPr>
                <w:sz w:val="18"/>
              </w:rPr>
            </w:pPr>
            <w:r>
              <w:rPr>
                <w:w w:val="100"/>
                <w:sz w:val="18"/>
              </w:rPr>
              <w:t>7</w:t>
            </w:r>
          </w:p>
        </w:tc>
        <w:tc>
          <w:tcPr>
            <w:tcW w:w="1120"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9" w:right="267"/>
              <w:jc w:val="center"/>
              <w:rPr>
                <w:sz w:val="20"/>
              </w:rPr>
            </w:pPr>
            <w:r>
              <w:rPr>
                <w:w w:val="95"/>
                <w:sz w:val="20"/>
              </w:rPr>
              <w:t>Indeks </w:t>
            </w:r>
            <w:r>
              <w:rPr>
                <w:sz w:val="20"/>
              </w:rPr>
              <w:t>6/5</w:t>
            </w:r>
          </w:p>
          <w:p>
            <w:pPr>
              <w:pStyle w:val="TableParagraph"/>
              <w:spacing w:before="89"/>
              <w:ind w:right="3"/>
              <w:jc w:val="center"/>
              <w:rPr>
                <w:sz w:val="18"/>
              </w:rPr>
            </w:pPr>
            <w:r>
              <w:rPr>
                <w:w w:val="100"/>
                <w:sz w:val="18"/>
              </w:rPr>
              <w:t>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line="238" w:lineRule="exact" w:before="7"/>
              <w:ind w:right="10"/>
              <w:rPr>
                <w:rFonts w:ascii="Verdana"/>
                <w:sz w:val="20"/>
              </w:rPr>
            </w:pPr>
            <w:r>
              <w:rPr>
                <w:rFonts w:ascii="Verdana"/>
                <w:w w:val="100"/>
                <w:sz w:val="20"/>
              </w:rPr>
              <w:t>6</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left="92"/>
              <w:jc w:val="left"/>
              <w:rPr>
                <w:rFonts w:ascii="Verdana"/>
                <w:sz w:val="20"/>
              </w:rPr>
            </w:pPr>
            <w:r>
              <w:rPr>
                <w:rFonts w:ascii="Verdana"/>
                <w:w w:val="105"/>
                <w:sz w:val="20"/>
              </w:rPr>
              <w:t>Prihodi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right="81"/>
              <w:rPr>
                <w:rFonts w:ascii="Verdana"/>
                <w:sz w:val="20"/>
              </w:rPr>
            </w:pPr>
            <w:r>
              <w:rPr>
                <w:rFonts w:ascii="Verdana"/>
                <w:sz w:val="20"/>
              </w:rPr>
              <w:t>6.271.996,51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right="71"/>
              <w:rPr>
                <w:rFonts w:ascii="Verdana"/>
                <w:sz w:val="20"/>
              </w:rPr>
            </w:pPr>
            <w:r>
              <w:rPr>
                <w:rFonts w:ascii="Verdana"/>
                <w:sz w:val="20"/>
              </w:rPr>
              <w:t>16.112.000,00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right="87"/>
              <w:rPr>
                <w:rFonts w:ascii="Verdana"/>
                <w:sz w:val="20"/>
              </w:rPr>
            </w:pPr>
            <w:r>
              <w:rPr>
                <w:rFonts w:ascii="Verdana"/>
                <w:sz w:val="20"/>
              </w:rPr>
              <w:t>16.112.000,00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right="72"/>
              <w:rPr>
                <w:rFonts w:ascii="Verdana"/>
                <w:sz w:val="20"/>
              </w:rPr>
            </w:pPr>
            <w:r>
              <w:rPr>
                <w:rFonts w:ascii="Verdana"/>
                <w:sz w:val="20"/>
              </w:rPr>
              <w:t>7.434.413,86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right="34"/>
              <w:rPr>
                <w:rFonts w:ascii="Verdana"/>
                <w:sz w:val="20"/>
              </w:rPr>
            </w:pPr>
            <w:r>
              <w:rPr>
                <w:rFonts w:ascii="Verdana"/>
                <w:sz w:val="20"/>
              </w:rPr>
              <w:t>118,53%</w:t>
            </w:r>
          </w:p>
        </w:tc>
        <w:tc>
          <w:tcPr>
            <w:tcW w:w="1120" w:type="dxa"/>
            <w:tcBorders>
              <w:top w:val="single" w:sz="8" w:space="0" w:color="000000"/>
              <w:left w:val="single" w:sz="2" w:space="0" w:color="000000"/>
              <w:bottom w:val="single" w:sz="8" w:space="0" w:color="000000"/>
              <w:right w:val="nil"/>
            </w:tcBorders>
          </w:tcPr>
          <w:p>
            <w:pPr>
              <w:pStyle w:val="TableParagraph"/>
              <w:spacing w:line="238" w:lineRule="exact" w:before="7"/>
              <w:ind w:right="38"/>
              <w:rPr>
                <w:rFonts w:ascii="Verdana"/>
                <w:sz w:val="20"/>
              </w:rPr>
            </w:pPr>
            <w:r>
              <w:rPr>
                <w:rFonts w:ascii="Verdana"/>
                <w:sz w:val="20"/>
              </w:rPr>
              <w:t>46,14%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10"/>
              <w:rPr>
                <w:rFonts w:ascii="Verdana"/>
                <w:sz w:val="18"/>
              </w:rPr>
            </w:pPr>
            <w:r>
              <w:rPr>
                <w:rFonts w:ascii="Verdana"/>
                <w:sz w:val="18"/>
              </w:rPr>
              <w:t>61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8"/>
              <w:ind w:left="92"/>
              <w:jc w:val="left"/>
              <w:rPr>
                <w:rFonts w:ascii="Verdana"/>
                <w:sz w:val="18"/>
              </w:rPr>
            </w:pPr>
            <w:r>
              <w:rPr>
                <w:rFonts w:ascii="Verdana"/>
                <w:sz w:val="18"/>
              </w:rPr>
              <w:t>Prihodi od poreza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8"/>
              <w:rPr>
                <w:rFonts w:ascii="Verdana"/>
                <w:sz w:val="18"/>
              </w:rPr>
            </w:pPr>
            <w:r>
              <w:rPr>
                <w:rFonts w:ascii="Verdana"/>
                <w:sz w:val="18"/>
              </w:rPr>
              <w:t>4.391.776,16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8"/>
              <w:rPr>
                <w:rFonts w:ascii="Verdana"/>
                <w:sz w:val="18"/>
              </w:rPr>
            </w:pPr>
            <w:r>
              <w:rPr>
                <w:rFonts w:ascii="Verdana"/>
                <w:sz w:val="18"/>
              </w:rPr>
              <w:t>10.411.000,00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4"/>
              <w:rPr>
                <w:rFonts w:ascii="Verdana"/>
                <w:sz w:val="18"/>
              </w:rPr>
            </w:pPr>
            <w:r>
              <w:rPr>
                <w:rFonts w:ascii="Verdana"/>
                <w:sz w:val="18"/>
              </w:rPr>
              <w:t>10.411.000,00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9"/>
              <w:rPr>
                <w:rFonts w:ascii="Verdana"/>
                <w:sz w:val="18"/>
              </w:rPr>
            </w:pPr>
            <w:r>
              <w:rPr>
                <w:rFonts w:ascii="Verdana"/>
                <w:sz w:val="18"/>
              </w:rPr>
              <w:t>5.181.520,83</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8"/>
              <w:ind w:right="33"/>
              <w:rPr>
                <w:rFonts w:ascii="Verdana"/>
                <w:sz w:val="18"/>
              </w:rPr>
            </w:pPr>
            <w:r>
              <w:rPr>
                <w:rFonts w:ascii="Verdana"/>
                <w:sz w:val="18"/>
              </w:rPr>
              <w:t>117,98%</w:t>
            </w:r>
          </w:p>
        </w:tc>
        <w:tc>
          <w:tcPr>
            <w:tcW w:w="1120" w:type="dxa"/>
            <w:tcBorders>
              <w:top w:val="single" w:sz="8" w:space="0" w:color="000000"/>
              <w:left w:val="single" w:sz="2" w:space="0" w:color="000000"/>
              <w:bottom w:val="single" w:sz="8" w:space="0" w:color="000000"/>
              <w:right w:val="nil"/>
            </w:tcBorders>
          </w:tcPr>
          <w:p>
            <w:pPr>
              <w:pStyle w:val="TableParagraph"/>
              <w:spacing w:before="8"/>
              <w:ind w:right="34"/>
              <w:rPr>
                <w:rFonts w:ascii="Verdana"/>
                <w:sz w:val="18"/>
              </w:rPr>
            </w:pPr>
            <w:r>
              <w:rPr>
                <w:rFonts w:ascii="Verdana"/>
                <w:sz w:val="18"/>
              </w:rPr>
              <w:t>49,77%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611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Porez i prirez na dohodak</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7"/>
              <w:rPr>
                <w:sz w:val="18"/>
              </w:rPr>
            </w:pPr>
            <w:r>
              <w:rPr>
                <w:sz w:val="18"/>
              </w:rPr>
              <w:t>4.157.681,37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9.522.000,00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92"/>
              <w:rPr>
                <w:sz w:val="18"/>
              </w:rPr>
            </w:pPr>
            <w:r>
              <w:rPr>
                <w:sz w:val="18"/>
              </w:rPr>
              <w:t>9.522.000,00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1"/>
              <w:rPr>
                <w:sz w:val="18"/>
              </w:rPr>
            </w:pPr>
            <w:r>
              <w:rPr>
                <w:sz w:val="18"/>
              </w:rPr>
              <w:t>4.861.244,05</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116,92%</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51,05%</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6111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Porez i prirez na dohodak od nesamostalnog rada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7"/>
              <w:rPr>
                <w:sz w:val="18"/>
              </w:rPr>
            </w:pPr>
            <w:r>
              <w:rPr>
                <w:sz w:val="18"/>
              </w:rPr>
              <w:t>4.241.040,73</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9"/>
              <w:rPr>
                <w:sz w:val="18"/>
              </w:rPr>
            </w:pPr>
            <w:r>
              <w:rPr>
                <w:sz w:val="18"/>
              </w:rPr>
              <w:t>4.694.501,15</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110,69%</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6112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Porez i prirez na dohodak od samostalnih djelatnosti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270.370,44</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457.618,80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169,26%</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6113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Porez i prirez na dohodak od imovine i imovinskih prava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32.030,71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42.178,06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131,68%</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6114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Porez i prirez na dohodak od kapitala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142.490,44</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119.707,66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84,01%</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6115</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Porez i prirez na dohodak po godišnjoj prijavi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21.598,12</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98.744,42</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457,19%</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481"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6116</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right="101"/>
              <w:jc w:val="left"/>
              <w:rPr>
                <w:sz w:val="18"/>
              </w:rPr>
            </w:pPr>
            <w:r>
              <w:rPr>
                <w:sz w:val="18"/>
              </w:rPr>
              <w:t>Porez i prirez na dohodak utvrđen u postupku nadzora za prethodne godine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18.158,33</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9.486,99</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52,25%</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6117</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Povrat poreza i prireza na dohodak po godišnjoj prijavi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-568.007,40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6"/>
              <w:rPr>
                <w:sz w:val="18"/>
              </w:rPr>
            </w:pPr>
            <w:r>
              <w:rPr>
                <w:sz w:val="18"/>
              </w:rPr>
              <w:t>-560.993,03</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98,77%</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613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Porezi na imovinu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180.305,61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564.000,00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564.000,00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8"/>
              <w:rPr>
                <w:sz w:val="18"/>
              </w:rPr>
            </w:pPr>
            <w:r>
              <w:rPr>
                <w:sz w:val="18"/>
              </w:rPr>
              <w:t>259.015,51</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143,65%</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45,92%</w:t>
            </w:r>
          </w:p>
        </w:tc>
      </w:tr>
      <w:tr>
        <w:trPr>
          <w:trHeight w:val="481"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6131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right="101"/>
              <w:jc w:val="left"/>
              <w:rPr>
                <w:sz w:val="18"/>
              </w:rPr>
            </w:pPr>
            <w:r>
              <w:rPr>
                <w:sz w:val="18"/>
              </w:rPr>
              <w:t>Stalni porezi na nepokretnu imovinu (zemlju, zgrade, kuće i ostalo)</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7.273,53</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12.345,78</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169,74%</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6134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Povremeni porezi na imovinu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173.032,08</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246.669,73</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142,56%</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614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Porezi na robu i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53.789,18</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325.000,00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90"/>
              <w:rPr>
                <w:sz w:val="18"/>
              </w:rPr>
            </w:pPr>
            <w:r>
              <w:rPr>
                <w:sz w:val="18"/>
              </w:rPr>
              <w:t>325.000,00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6"/>
              <w:rPr>
                <w:sz w:val="18"/>
              </w:rPr>
            </w:pPr>
            <w:r>
              <w:rPr>
                <w:sz w:val="18"/>
              </w:rPr>
              <w:t>61.261,27</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113,89%</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18,85%</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6142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Porez na promet</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36.561,97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53.210,25</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145,53%</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6145</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Porezi na korištenje dobara ili izvođenje aktivnosti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17.227,21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8.051,02</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46,73%</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481"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10"/>
              <w:rPr>
                <w:rFonts w:ascii="Verdana"/>
                <w:sz w:val="18"/>
              </w:rPr>
            </w:pPr>
            <w:r>
              <w:rPr>
                <w:rFonts w:ascii="Verdana"/>
                <w:sz w:val="18"/>
              </w:rPr>
              <w:t>63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line="237" w:lineRule="auto"/>
              <w:ind w:left="92"/>
              <w:jc w:val="left"/>
              <w:rPr>
                <w:rFonts w:ascii="Verdana" w:hAnsi="Verdana"/>
                <w:sz w:val="18"/>
              </w:rPr>
            </w:pPr>
            <w:r>
              <w:rPr>
                <w:rFonts w:ascii="Verdana" w:hAnsi="Verdana"/>
                <w:sz w:val="18"/>
              </w:rPr>
              <w:t>Pomoći iz inozemstva (darovnice) i od subjekata unutar opće države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6"/>
              <w:rPr>
                <w:rFonts w:ascii="Verdana"/>
                <w:sz w:val="18"/>
              </w:rPr>
            </w:pPr>
            <w:r>
              <w:rPr>
                <w:rFonts w:ascii="Verdana"/>
                <w:sz w:val="18"/>
              </w:rPr>
              <w:t>250.650,17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8"/>
              <w:rPr>
                <w:rFonts w:ascii="Verdana"/>
                <w:sz w:val="18"/>
              </w:rPr>
            </w:pPr>
            <w:r>
              <w:rPr>
                <w:rFonts w:ascii="Verdana"/>
                <w:sz w:val="18"/>
              </w:rPr>
              <w:t>1.592.000,00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2"/>
              <w:rPr>
                <w:rFonts w:ascii="Verdana"/>
                <w:sz w:val="18"/>
              </w:rPr>
            </w:pPr>
            <w:r>
              <w:rPr>
                <w:rFonts w:ascii="Verdana"/>
                <w:sz w:val="18"/>
              </w:rPr>
              <w:t>1.592.000,00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7"/>
              <w:rPr>
                <w:rFonts w:ascii="Verdana"/>
                <w:sz w:val="18"/>
              </w:rPr>
            </w:pPr>
            <w:r>
              <w:rPr>
                <w:rFonts w:ascii="Verdana"/>
                <w:sz w:val="18"/>
              </w:rPr>
              <w:t>183.170,00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8"/>
              <w:ind w:right="31"/>
              <w:rPr>
                <w:rFonts w:ascii="Verdana"/>
                <w:sz w:val="18"/>
              </w:rPr>
            </w:pPr>
            <w:r>
              <w:rPr>
                <w:rFonts w:ascii="Verdana"/>
                <w:sz w:val="18"/>
              </w:rPr>
              <w:t>73,08%</w:t>
            </w:r>
          </w:p>
        </w:tc>
        <w:tc>
          <w:tcPr>
            <w:tcW w:w="1120" w:type="dxa"/>
            <w:tcBorders>
              <w:top w:val="single" w:sz="8" w:space="0" w:color="000000"/>
              <w:left w:val="single" w:sz="2" w:space="0" w:color="000000"/>
              <w:bottom w:val="single" w:sz="8" w:space="0" w:color="000000"/>
              <w:right w:val="nil"/>
            </w:tcBorders>
          </w:tcPr>
          <w:p>
            <w:pPr>
              <w:pStyle w:val="TableParagraph"/>
              <w:spacing w:before="8"/>
              <w:ind w:right="34"/>
              <w:rPr>
                <w:rFonts w:ascii="Verdana"/>
                <w:sz w:val="18"/>
              </w:rPr>
            </w:pPr>
            <w:r>
              <w:rPr>
                <w:rFonts w:ascii="Verdana"/>
                <w:sz w:val="18"/>
              </w:rPr>
              <w:t>11,51%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633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Pomoći iz proračuna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250.650,17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1.592.000,00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92"/>
              <w:rPr>
                <w:sz w:val="18"/>
              </w:rPr>
            </w:pPr>
            <w:r>
              <w:rPr>
                <w:sz w:val="18"/>
              </w:rPr>
              <w:t>1.592.000,00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8"/>
              <w:rPr>
                <w:sz w:val="18"/>
              </w:rPr>
            </w:pPr>
            <w:r>
              <w:rPr>
                <w:sz w:val="18"/>
              </w:rPr>
              <w:t>183.170,00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73,08%</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11,51%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6331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Tekuće pomoći iz proračuna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219.450,17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12.020,00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8"/>
              <w:rPr>
                <w:sz w:val="16"/>
              </w:rPr>
            </w:pPr>
            <w:r>
              <w:rPr>
                <w:sz w:val="16"/>
              </w:rPr>
              <w:t>5,48%</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6332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Kapitalne pomoći iz proračuna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31.200,00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171.150,00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548,56%</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10"/>
              <w:rPr>
                <w:rFonts w:ascii="Verdana"/>
                <w:sz w:val="18"/>
              </w:rPr>
            </w:pPr>
            <w:r>
              <w:rPr>
                <w:rFonts w:ascii="Verdana"/>
                <w:sz w:val="18"/>
              </w:rPr>
              <w:t>64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8"/>
              <w:ind w:left="92"/>
              <w:jc w:val="left"/>
              <w:rPr>
                <w:rFonts w:ascii="Verdana"/>
                <w:sz w:val="18"/>
              </w:rPr>
            </w:pPr>
            <w:r>
              <w:rPr>
                <w:rFonts w:ascii="Verdana"/>
                <w:w w:val="105"/>
                <w:sz w:val="18"/>
              </w:rPr>
              <w:t>Prihodi od imovine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6"/>
              <w:rPr>
                <w:rFonts w:ascii="Verdana"/>
                <w:sz w:val="18"/>
              </w:rPr>
            </w:pPr>
            <w:r>
              <w:rPr>
                <w:rFonts w:ascii="Verdana"/>
                <w:sz w:val="18"/>
              </w:rPr>
              <w:t>124.404,70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6"/>
              <w:rPr>
                <w:rFonts w:ascii="Verdana"/>
                <w:sz w:val="18"/>
              </w:rPr>
            </w:pPr>
            <w:r>
              <w:rPr>
                <w:rFonts w:ascii="Verdana"/>
                <w:sz w:val="18"/>
              </w:rPr>
              <w:t>350.000,00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2"/>
              <w:rPr>
                <w:rFonts w:ascii="Verdana"/>
                <w:sz w:val="18"/>
              </w:rPr>
            </w:pPr>
            <w:r>
              <w:rPr>
                <w:rFonts w:ascii="Verdana"/>
                <w:sz w:val="18"/>
              </w:rPr>
              <w:t>350.000,00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7"/>
              <w:rPr>
                <w:rFonts w:ascii="Verdana"/>
                <w:sz w:val="18"/>
              </w:rPr>
            </w:pPr>
            <w:r>
              <w:rPr>
                <w:rFonts w:ascii="Verdana"/>
                <w:sz w:val="18"/>
              </w:rPr>
              <w:t>287.228,30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8"/>
              <w:ind w:right="33"/>
              <w:rPr>
                <w:rFonts w:ascii="Verdana"/>
                <w:sz w:val="18"/>
              </w:rPr>
            </w:pPr>
            <w:r>
              <w:rPr>
                <w:rFonts w:ascii="Verdana"/>
                <w:sz w:val="18"/>
              </w:rPr>
              <w:t>230,88%</w:t>
            </w:r>
          </w:p>
        </w:tc>
        <w:tc>
          <w:tcPr>
            <w:tcW w:w="1120" w:type="dxa"/>
            <w:tcBorders>
              <w:top w:val="single" w:sz="8" w:space="0" w:color="000000"/>
              <w:left w:val="single" w:sz="2" w:space="0" w:color="000000"/>
              <w:bottom w:val="single" w:sz="8" w:space="0" w:color="000000"/>
              <w:right w:val="nil"/>
            </w:tcBorders>
          </w:tcPr>
          <w:p>
            <w:pPr>
              <w:pStyle w:val="TableParagraph"/>
              <w:spacing w:before="8"/>
              <w:ind w:right="34"/>
              <w:rPr>
                <w:rFonts w:ascii="Verdana"/>
                <w:sz w:val="18"/>
              </w:rPr>
            </w:pPr>
            <w:r>
              <w:rPr>
                <w:rFonts w:ascii="Verdana"/>
                <w:sz w:val="18"/>
              </w:rPr>
              <w:t>82,07%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641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Prihodi od financijske imovine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1.866,40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0"/>
              <w:rPr>
                <w:sz w:val="18"/>
              </w:rPr>
            </w:pPr>
            <w:r>
              <w:rPr>
                <w:sz w:val="18"/>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6"/>
              <w:rPr>
                <w:sz w:val="18"/>
              </w:rPr>
            </w:pPr>
            <w:r>
              <w:rPr>
                <w:sz w:val="18"/>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2.324,55</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124,55%</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33,21%</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6413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Kamate na oročena sredstva i depozite po viđenju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659,67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2"/>
              <w:rPr>
                <w:sz w:val="18"/>
              </w:rPr>
            </w:pPr>
            <w:r>
              <w:rPr>
                <w:sz w:val="18"/>
              </w:rPr>
              <w:t>604,81</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91,68%</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6414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7790-Prihodi od zateznih kamata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1.206,73</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1.719,74</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142,51%</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80" w:hRule="atLeast"/>
        </w:trPr>
        <w:tc>
          <w:tcPr>
            <w:tcW w:w="734" w:type="dxa"/>
            <w:tcBorders>
              <w:top w:val="single" w:sz="8" w:space="0" w:color="000000"/>
              <w:left w:val="nil"/>
              <w:bottom w:val="nil"/>
              <w:right w:val="single" w:sz="2" w:space="0" w:color="000000"/>
            </w:tcBorders>
          </w:tcPr>
          <w:p>
            <w:pPr>
              <w:pStyle w:val="TableParagraph"/>
              <w:spacing w:before="9"/>
              <w:ind w:right="13"/>
              <w:rPr>
                <w:sz w:val="18"/>
              </w:rPr>
            </w:pPr>
            <w:r>
              <w:rPr>
                <w:sz w:val="18"/>
              </w:rPr>
              <w:t>642</w:t>
            </w:r>
          </w:p>
        </w:tc>
        <w:tc>
          <w:tcPr>
            <w:tcW w:w="399"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nil"/>
              <w:right w:val="single" w:sz="2" w:space="0" w:color="000000"/>
            </w:tcBorders>
          </w:tcPr>
          <w:p>
            <w:pPr>
              <w:pStyle w:val="TableParagraph"/>
              <w:spacing w:before="9"/>
              <w:ind w:left="92"/>
              <w:jc w:val="left"/>
              <w:rPr>
                <w:sz w:val="18"/>
              </w:rPr>
            </w:pPr>
            <w:r>
              <w:rPr>
                <w:sz w:val="18"/>
              </w:rPr>
              <w:t>Prihodi od nefinancijske imovine</w:t>
            </w:r>
          </w:p>
        </w:tc>
        <w:tc>
          <w:tcPr>
            <w:tcW w:w="1833" w:type="dxa"/>
            <w:tcBorders>
              <w:top w:val="single" w:sz="8" w:space="0" w:color="000000"/>
              <w:left w:val="single" w:sz="2" w:space="0" w:color="000000"/>
              <w:bottom w:val="nil"/>
              <w:right w:val="single" w:sz="2" w:space="0" w:color="000000"/>
            </w:tcBorders>
          </w:tcPr>
          <w:p>
            <w:pPr>
              <w:pStyle w:val="TableParagraph"/>
              <w:spacing w:before="9"/>
              <w:ind w:right="84"/>
              <w:rPr>
                <w:sz w:val="18"/>
              </w:rPr>
            </w:pPr>
            <w:r>
              <w:rPr>
                <w:sz w:val="18"/>
              </w:rPr>
              <w:t>122.538,30</w:t>
            </w:r>
          </w:p>
        </w:tc>
        <w:tc>
          <w:tcPr>
            <w:tcW w:w="1831" w:type="dxa"/>
            <w:tcBorders>
              <w:top w:val="single" w:sz="8" w:space="0" w:color="000000"/>
              <w:left w:val="single" w:sz="2" w:space="0" w:color="000000"/>
              <w:bottom w:val="nil"/>
              <w:right w:val="single" w:sz="2" w:space="0" w:color="000000"/>
            </w:tcBorders>
          </w:tcPr>
          <w:p>
            <w:pPr>
              <w:pStyle w:val="TableParagraph"/>
              <w:spacing w:before="9"/>
              <w:ind w:right="74"/>
              <w:rPr>
                <w:sz w:val="18"/>
              </w:rPr>
            </w:pPr>
            <w:r>
              <w:rPr>
                <w:sz w:val="18"/>
              </w:rPr>
              <w:t>343.000,00</w:t>
            </w:r>
          </w:p>
        </w:tc>
        <w:tc>
          <w:tcPr>
            <w:tcW w:w="1831" w:type="dxa"/>
            <w:tcBorders>
              <w:top w:val="single" w:sz="8" w:space="0" w:color="000000"/>
              <w:left w:val="single" w:sz="2" w:space="0" w:color="000000"/>
              <w:bottom w:val="nil"/>
              <w:right w:val="single" w:sz="2" w:space="0" w:color="000000"/>
            </w:tcBorders>
          </w:tcPr>
          <w:p>
            <w:pPr>
              <w:pStyle w:val="TableParagraph"/>
              <w:spacing w:before="9"/>
              <w:ind w:right="89"/>
              <w:rPr>
                <w:sz w:val="18"/>
              </w:rPr>
            </w:pPr>
            <w:r>
              <w:rPr>
                <w:sz w:val="18"/>
              </w:rPr>
              <w:t>343.000,00</w:t>
            </w:r>
          </w:p>
        </w:tc>
        <w:tc>
          <w:tcPr>
            <w:tcW w:w="1831" w:type="dxa"/>
            <w:tcBorders>
              <w:top w:val="single" w:sz="8" w:space="0" w:color="000000"/>
              <w:left w:val="single" w:sz="2" w:space="0" w:color="000000"/>
              <w:bottom w:val="nil"/>
              <w:right w:val="single" w:sz="2" w:space="0" w:color="000000"/>
            </w:tcBorders>
          </w:tcPr>
          <w:p>
            <w:pPr>
              <w:pStyle w:val="TableParagraph"/>
              <w:spacing w:before="9"/>
              <w:ind w:right="78"/>
              <w:rPr>
                <w:sz w:val="18"/>
              </w:rPr>
            </w:pPr>
            <w:r>
              <w:rPr>
                <w:sz w:val="18"/>
              </w:rPr>
              <w:t>284.903,75</w:t>
            </w:r>
          </w:p>
        </w:tc>
        <w:tc>
          <w:tcPr>
            <w:tcW w:w="1116" w:type="dxa"/>
            <w:tcBorders>
              <w:top w:val="single" w:sz="8" w:space="0" w:color="000000"/>
              <w:left w:val="single" w:sz="2" w:space="0" w:color="000000"/>
              <w:bottom w:val="nil"/>
              <w:right w:val="single" w:sz="2" w:space="0" w:color="000000"/>
            </w:tcBorders>
          </w:tcPr>
          <w:p>
            <w:pPr>
              <w:pStyle w:val="TableParagraph"/>
              <w:ind w:right="25"/>
              <w:rPr>
                <w:sz w:val="16"/>
              </w:rPr>
            </w:pPr>
            <w:r>
              <w:rPr>
                <w:sz w:val="16"/>
              </w:rPr>
              <w:t>232,50%</w:t>
            </w:r>
          </w:p>
        </w:tc>
        <w:tc>
          <w:tcPr>
            <w:tcW w:w="1120" w:type="dxa"/>
            <w:tcBorders>
              <w:top w:val="single" w:sz="8" w:space="0" w:color="000000"/>
              <w:left w:val="single" w:sz="2" w:space="0" w:color="000000"/>
              <w:bottom w:val="nil"/>
              <w:right w:val="nil"/>
            </w:tcBorders>
          </w:tcPr>
          <w:p>
            <w:pPr>
              <w:pStyle w:val="TableParagraph"/>
              <w:ind w:right="31"/>
              <w:rPr>
                <w:sz w:val="16"/>
              </w:rPr>
            </w:pPr>
            <w:r>
              <w:rPr>
                <w:sz w:val="16"/>
              </w:rPr>
              <w:t>83,06%</w:t>
            </w:r>
          </w:p>
        </w:tc>
      </w:tr>
    </w:tbl>
    <w:p>
      <w:pPr>
        <w:pStyle w:val="BodyText"/>
        <w:spacing w:before="9"/>
        <w:rPr>
          <w:sz w:val="12"/>
        </w:rPr>
      </w:pPr>
      <w:r>
        <w:rPr/>
        <w:pict>
          <v:rect style="position:absolute;margin-left:42.590637pt;margin-top:9.340083pt;width:768.359983pt;height:.96pt;mso-position-horizontal-relative:page;mso-position-vertical-relative:paragraph;z-index:-15728128;mso-wrap-distance-left:0;mso-wrap-distance-right:0" filled="true" fillcolor="#000000" stroked="false">
            <v:fill type="solid"/>
            <w10:wrap type="topAndBottom"/>
          </v:rect>
        </w:pict>
      </w:r>
    </w:p>
    <w:p>
      <w:pPr>
        <w:spacing w:after="0"/>
        <w:rPr>
          <w:sz w:val="12"/>
        </w:rPr>
        <w:sectPr>
          <w:footerReference w:type="default" r:id="rId6"/>
          <w:pgSz w:w="16840" w:h="11900" w:orient="landscape"/>
          <w:pgMar w:footer="718" w:header="0" w:top="1100" w:bottom="90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399"/>
        <w:gridCol w:w="4672"/>
        <w:gridCol w:w="1833"/>
        <w:gridCol w:w="1831"/>
        <w:gridCol w:w="1831"/>
        <w:gridCol w:w="1831"/>
        <w:gridCol w:w="1116"/>
        <w:gridCol w:w="1117"/>
      </w:tblGrid>
      <w:tr>
        <w:trPr>
          <w:trHeight w:val="828" w:hRule="atLeast"/>
        </w:trPr>
        <w:tc>
          <w:tcPr>
            <w:tcW w:w="15364" w:type="dxa"/>
            <w:gridSpan w:val="9"/>
            <w:tcBorders>
              <w:left w:val="nil"/>
              <w:bottom w:val="single" w:sz="8" w:space="0" w:color="000000"/>
              <w:right w:val="nil"/>
            </w:tcBorders>
            <w:shd w:val="clear" w:color="auto" w:fill="C0C0C0"/>
          </w:tcPr>
          <w:p>
            <w:pPr>
              <w:pStyle w:val="TableParagraph"/>
              <w:spacing w:before="56"/>
              <w:ind w:left="1640"/>
              <w:jc w:val="left"/>
              <w:rPr>
                <w:rFonts w:ascii="Century" w:hAnsi="Century"/>
                <w:sz w:val="28"/>
              </w:rPr>
            </w:pPr>
            <w:r>
              <w:rPr>
                <w:rFonts w:ascii="Century" w:hAnsi="Century"/>
                <w:sz w:val="28"/>
              </w:rPr>
              <w:t>POLUGODIŠNJI IZVJEŠTAJ O IZVRŠENJU PRORAČUNA GRADA OZLJA ZA 2014. GODINU</w:t>
            </w:r>
          </w:p>
          <w:p>
            <w:pPr>
              <w:pStyle w:val="TableParagraph"/>
              <w:spacing w:before="67"/>
              <w:ind w:left="5485"/>
              <w:jc w:val="left"/>
              <w:rPr>
                <w:rFonts w:ascii="Times New Roman" w:hAnsi="Times New Roman"/>
                <w:sz w:val="22"/>
              </w:rPr>
            </w:pPr>
            <w:r>
              <w:rPr>
                <w:rFonts w:ascii="Times New Roman" w:hAnsi="Times New Roman"/>
                <w:sz w:val="22"/>
              </w:rPr>
              <w:t>A. RAČUN PRIHODA I RASHODA (PRIHODI)</w:t>
            </w:r>
          </w:p>
        </w:tc>
      </w:tr>
      <w:tr>
        <w:trPr>
          <w:trHeight w:val="846" w:hRule="atLeast"/>
        </w:trPr>
        <w:tc>
          <w:tcPr>
            <w:tcW w:w="1133"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13"/>
              <w:ind w:left="231" w:right="229" w:hanging="49"/>
              <w:jc w:val="center"/>
              <w:rPr>
                <w:sz w:val="20"/>
              </w:rPr>
            </w:pPr>
            <w:r>
              <w:rPr>
                <w:sz w:val="20"/>
              </w:rPr>
              <w:t>Račun/ Pozicija</w:t>
            </w:r>
          </w:p>
          <w:p>
            <w:pPr>
              <w:pStyle w:val="TableParagraph"/>
              <w:spacing w:before="89"/>
              <w:ind w:left="11"/>
              <w:jc w:val="center"/>
              <w:rPr>
                <w:sz w:val="18"/>
              </w:rPr>
            </w:pPr>
            <w:r>
              <w:rPr>
                <w:w w:val="100"/>
                <w:sz w:val="18"/>
              </w:rPr>
              <w:t>1</w:t>
            </w:r>
          </w:p>
        </w:tc>
        <w:tc>
          <w:tcPr>
            <w:tcW w:w="467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2142" w:right="2096"/>
              <w:jc w:val="center"/>
              <w:rPr>
                <w:sz w:val="20"/>
              </w:rPr>
            </w:pPr>
            <w:r>
              <w:rPr>
                <w:sz w:val="20"/>
              </w:rPr>
              <w:t>Opis</w:t>
            </w:r>
          </w:p>
          <w:p>
            <w:pPr>
              <w:pStyle w:val="TableParagraph"/>
              <w:spacing w:before="2"/>
              <w:jc w:val="left"/>
              <w:rPr>
                <w:rFonts w:ascii="Times New Roman"/>
                <w:sz w:val="29"/>
              </w:rPr>
            </w:pPr>
          </w:p>
          <w:p>
            <w:pPr>
              <w:pStyle w:val="TableParagraph"/>
              <w:spacing w:before="0"/>
              <w:ind w:left="41"/>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8"/>
              <w:ind w:left="146" w:right="132"/>
              <w:jc w:val="center"/>
              <w:rPr>
                <w:sz w:val="20"/>
              </w:rPr>
            </w:pPr>
            <w:r>
              <w:rPr>
                <w:sz w:val="20"/>
              </w:rPr>
              <w:t>Izvršenje 01.01.-</w:t>
            </w:r>
          </w:p>
          <w:p>
            <w:pPr>
              <w:pStyle w:val="TableParagraph"/>
              <w:spacing w:line="241" w:lineRule="exact" w:before="0"/>
              <w:ind w:left="95" w:right="138"/>
              <w:jc w:val="center"/>
              <w:rPr>
                <w:sz w:val="20"/>
              </w:rPr>
            </w:pPr>
            <w:r>
              <w:rPr>
                <w:sz w:val="20"/>
              </w:rPr>
              <w:t>30.06.2013.</w:t>
            </w:r>
          </w:p>
          <w:p>
            <w:pPr>
              <w:pStyle w:val="TableParagraph"/>
              <w:spacing w:before="91"/>
              <w:ind w:left="16"/>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0" w:right="131"/>
              <w:jc w:val="center"/>
              <w:rPr>
                <w:sz w:val="20"/>
              </w:rPr>
            </w:pPr>
            <w:r>
              <w:rPr>
                <w:sz w:val="20"/>
              </w:rPr>
              <w:t>Izvorni plan za 2014. godinu</w:t>
            </w:r>
          </w:p>
          <w:p>
            <w:pPr>
              <w:pStyle w:val="TableParagraph"/>
              <w:spacing w:before="89"/>
              <w:ind w:left="33"/>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70" w:right="131"/>
              <w:jc w:val="center"/>
              <w:rPr>
                <w:sz w:val="20"/>
              </w:rPr>
            </w:pPr>
            <w:r>
              <w:rPr>
                <w:sz w:val="20"/>
              </w:rPr>
              <w:t>Tekući plan za 2014. godinu</w:t>
            </w:r>
          </w:p>
          <w:p>
            <w:pPr>
              <w:pStyle w:val="TableParagraph"/>
              <w:spacing w:before="94"/>
              <w:jc w:val="center"/>
              <w:rPr>
                <w:sz w:val="18"/>
              </w:rPr>
            </w:pPr>
            <w:r>
              <w:rPr>
                <w:w w:val="100"/>
                <w:sz w:val="18"/>
              </w:rPr>
              <w:t>5</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2"/>
              <w:jc w:val="center"/>
              <w:rPr>
                <w:sz w:val="20"/>
              </w:rPr>
            </w:pPr>
            <w:r>
              <w:rPr>
                <w:sz w:val="20"/>
              </w:rPr>
              <w:t>Izvršenje 01.01.-</w:t>
            </w:r>
          </w:p>
          <w:p>
            <w:pPr>
              <w:pStyle w:val="TableParagraph"/>
              <w:spacing w:line="241" w:lineRule="exact" w:before="0"/>
              <w:ind w:left="102" w:right="131"/>
              <w:jc w:val="center"/>
              <w:rPr>
                <w:sz w:val="20"/>
              </w:rPr>
            </w:pPr>
            <w:r>
              <w:rPr>
                <w:sz w:val="20"/>
              </w:rPr>
              <w:t>30.06.2014.</w:t>
            </w:r>
          </w:p>
          <w:p>
            <w:pPr>
              <w:pStyle w:val="TableParagraph"/>
              <w:spacing w:before="90"/>
              <w:ind w:left="29"/>
              <w:jc w:val="center"/>
              <w:rPr>
                <w:sz w:val="18"/>
              </w:rPr>
            </w:pPr>
            <w:r>
              <w:rPr>
                <w:w w:val="100"/>
                <w:sz w:val="18"/>
              </w:rPr>
              <w:t>6</w:t>
            </w:r>
          </w:p>
        </w:tc>
        <w:tc>
          <w:tcPr>
            <w:tcW w:w="1116"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268" w:right="250"/>
              <w:jc w:val="center"/>
              <w:rPr>
                <w:sz w:val="20"/>
              </w:rPr>
            </w:pPr>
            <w:r>
              <w:rPr>
                <w:w w:val="95"/>
                <w:sz w:val="20"/>
              </w:rPr>
              <w:t>Indeks </w:t>
            </w:r>
            <w:r>
              <w:rPr>
                <w:sz w:val="20"/>
              </w:rPr>
              <w:t>6/3</w:t>
            </w:r>
          </w:p>
          <w:p>
            <w:pPr>
              <w:pStyle w:val="TableParagraph"/>
              <w:spacing w:before="89"/>
              <w:ind w:left="20"/>
              <w:jc w:val="center"/>
              <w:rPr>
                <w:sz w:val="18"/>
              </w:rPr>
            </w:pPr>
            <w:r>
              <w:rPr>
                <w:w w:val="100"/>
                <w:sz w:val="18"/>
              </w:rPr>
              <w:t>7</w:t>
            </w:r>
          </w:p>
        </w:tc>
        <w:tc>
          <w:tcPr>
            <w:tcW w:w="1117"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8" w:right="263"/>
              <w:jc w:val="center"/>
              <w:rPr>
                <w:sz w:val="20"/>
              </w:rPr>
            </w:pPr>
            <w:r>
              <w:rPr>
                <w:w w:val="95"/>
                <w:sz w:val="20"/>
              </w:rPr>
              <w:t>Indeks </w:t>
            </w:r>
            <w:r>
              <w:rPr>
                <w:sz w:val="20"/>
              </w:rPr>
              <w:t>6/5</w:t>
            </w:r>
          </w:p>
          <w:p>
            <w:pPr>
              <w:pStyle w:val="TableParagraph"/>
              <w:spacing w:before="89"/>
              <w:jc w:val="center"/>
              <w:rPr>
                <w:sz w:val="18"/>
              </w:rPr>
            </w:pPr>
            <w:r>
              <w:rPr>
                <w:w w:val="100"/>
                <w:sz w:val="18"/>
              </w:rPr>
              <w:t>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6421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Naknade za koncesije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2.724,00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2.700,00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99,12%</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6422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Prihodi od zakupa i iznajmljivanja imovine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36.454,26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54.144,10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148,53%</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6423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Naknada za korištenje nefinancijske imovine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59.296,12</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128.903,08</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217,39%</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6429</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Ostali prihodi od nefinancijske imovine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24.063,92</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99.156,57</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412,05%</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479"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10"/>
              <w:rPr>
                <w:rFonts w:ascii="Verdana"/>
                <w:sz w:val="18"/>
              </w:rPr>
            </w:pPr>
            <w:r>
              <w:rPr>
                <w:rFonts w:ascii="Verdana"/>
                <w:sz w:val="18"/>
              </w:rPr>
              <w:t>65</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line="237" w:lineRule="auto"/>
              <w:ind w:left="92" w:right="487"/>
              <w:jc w:val="left"/>
              <w:rPr>
                <w:rFonts w:ascii="Verdana"/>
                <w:sz w:val="18"/>
              </w:rPr>
            </w:pPr>
            <w:r>
              <w:rPr>
                <w:rFonts w:ascii="Verdana"/>
                <w:w w:val="105"/>
                <w:sz w:val="18"/>
              </w:rPr>
              <w:t>Prihodi</w:t>
            </w:r>
            <w:r>
              <w:rPr>
                <w:rFonts w:ascii="Verdana"/>
                <w:spacing w:val="-36"/>
                <w:w w:val="105"/>
                <w:sz w:val="18"/>
              </w:rPr>
              <w:t> </w:t>
            </w:r>
            <w:r>
              <w:rPr>
                <w:rFonts w:ascii="Verdana"/>
                <w:w w:val="105"/>
                <w:sz w:val="18"/>
              </w:rPr>
              <w:t>od</w:t>
            </w:r>
            <w:r>
              <w:rPr>
                <w:rFonts w:ascii="Verdana"/>
                <w:spacing w:val="-36"/>
                <w:w w:val="105"/>
                <w:sz w:val="18"/>
              </w:rPr>
              <w:t> </w:t>
            </w:r>
            <w:r>
              <w:rPr>
                <w:rFonts w:ascii="Verdana"/>
                <w:w w:val="105"/>
                <w:sz w:val="18"/>
              </w:rPr>
              <w:t>administrativnih</w:t>
            </w:r>
            <w:r>
              <w:rPr>
                <w:rFonts w:ascii="Verdana"/>
                <w:spacing w:val="-36"/>
                <w:w w:val="105"/>
                <w:sz w:val="18"/>
              </w:rPr>
              <w:t> </w:t>
            </w:r>
            <w:r>
              <w:rPr>
                <w:rFonts w:ascii="Verdana"/>
                <w:w w:val="105"/>
                <w:sz w:val="18"/>
              </w:rPr>
              <w:t>pristojbi,</w:t>
            </w:r>
            <w:r>
              <w:rPr>
                <w:rFonts w:ascii="Verdana"/>
                <w:spacing w:val="-35"/>
                <w:w w:val="105"/>
                <w:sz w:val="18"/>
              </w:rPr>
              <w:t> </w:t>
            </w:r>
            <w:r>
              <w:rPr>
                <w:rFonts w:ascii="Verdana"/>
                <w:w w:val="105"/>
                <w:sz w:val="18"/>
              </w:rPr>
              <w:t>prist</w:t>
            </w:r>
            <w:r>
              <w:rPr>
                <w:rFonts w:ascii="Verdana"/>
                <w:spacing w:val="-36"/>
                <w:w w:val="105"/>
                <w:sz w:val="18"/>
              </w:rPr>
              <w:t> </w:t>
            </w:r>
            <w:r>
              <w:rPr>
                <w:rFonts w:ascii="Verdana"/>
                <w:w w:val="105"/>
                <w:sz w:val="18"/>
              </w:rPr>
              <w:t>po pos.propisima i</w:t>
            </w:r>
            <w:r>
              <w:rPr>
                <w:rFonts w:ascii="Verdana"/>
                <w:spacing w:val="-34"/>
                <w:w w:val="105"/>
                <w:sz w:val="18"/>
              </w:rPr>
              <w:t> </w:t>
            </w:r>
            <w:r>
              <w:rPr>
                <w:rFonts w:ascii="Verdana"/>
                <w:w w:val="105"/>
                <w:sz w:val="18"/>
              </w:rPr>
              <w:t>naknada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6"/>
              <w:rPr>
                <w:rFonts w:ascii="Verdana"/>
                <w:sz w:val="18"/>
              </w:rPr>
            </w:pPr>
            <w:r>
              <w:rPr>
                <w:rFonts w:ascii="Verdana"/>
                <w:sz w:val="18"/>
              </w:rPr>
              <w:t>967.430,48</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8"/>
              <w:rPr>
                <w:rFonts w:ascii="Verdana"/>
                <w:sz w:val="18"/>
              </w:rPr>
            </w:pPr>
            <w:r>
              <w:rPr>
                <w:rFonts w:ascii="Verdana"/>
                <w:sz w:val="18"/>
              </w:rPr>
              <w:t>2.625.000,00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2"/>
              <w:rPr>
                <w:rFonts w:ascii="Verdana"/>
                <w:sz w:val="18"/>
              </w:rPr>
            </w:pPr>
            <w:r>
              <w:rPr>
                <w:rFonts w:ascii="Verdana"/>
                <w:sz w:val="18"/>
              </w:rPr>
              <w:t>2.625.000,00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9"/>
              <w:rPr>
                <w:rFonts w:ascii="Verdana"/>
                <w:sz w:val="18"/>
              </w:rPr>
            </w:pPr>
            <w:r>
              <w:rPr>
                <w:rFonts w:ascii="Verdana"/>
                <w:sz w:val="18"/>
              </w:rPr>
              <w:t>1.197.785,73</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8"/>
              <w:ind w:right="33"/>
              <w:rPr>
                <w:rFonts w:ascii="Verdana"/>
                <w:sz w:val="18"/>
              </w:rPr>
            </w:pPr>
            <w:r>
              <w:rPr>
                <w:rFonts w:ascii="Verdana"/>
                <w:sz w:val="18"/>
              </w:rPr>
              <w:t>123,81%</w:t>
            </w:r>
          </w:p>
        </w:tc>
        <w:tc>
          <w:tcPr>
            <w:tcW w:w="1117" w:type="dxa"/>
            <w:tcBorders>
              <w:top w:val="single" w:sz="8" w:space="0" w:color="000000"/>
              <w:left w:val="single" w:sz="2" w:space="0" w:color="000000"/>
              <w:bottom w:val="single" w:sz="8" w:space="0" w:color="000000"/>
              <w:right w:val="nil"/>
            </w:tcBorders>
          </w:tcPr>
          <w:p>
            <w:pPr>
              <w:pStyle w:val="TableParagraph"/>
              <w:spacing w:before="8"/>
              <w:ind w:right="31"/>
              <w:rPr>
                <w:rFonts w:ascii="Verdana"/>
                <w:sz w:val="18"/>
              </w:rPr>
            </w:pPr>
            <w:r>
              <w:rPr>
                <w:rFonts w:ascii="Verdana"/>
                <w:sz w:val="18"/>
              </w:rPr>
              <w:t>45,63%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651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Upravne i administrativne pristojbe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91.497,59</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90"/>
              <w:rPr>
                <w:sz w:val="18"/>
              </w:rPr>
            </w:pPr>
            <w:r>
              <w:rPr>
                <w:sz w:val="18"/>
              </w:rPr>
              <w:t>152.000,00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6"/>
              <w:rPr>
                <w:sz w:val="18"/>
              </w:rPr>
            </w:pPr>
            <w:r>
              <w:rPr>
                <w:sz w:val="18"/>
              </w:rPr>
              <w:t>50.993,39</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55,73%</w:t>
            </w:r>
          </w:p>
        </w:tc>
        <w:tc>
          <w:tcPr>
            <w:tcW w:w="1117" w:type="dxa"/>
            <w:tcBorders>
              <w:top w:val="single" w:sz="8" w:space="0" w:color="000000"/>
              <w:left w:val="single" w:sz="2" w:space="0" w:color="000000"/>
              <w:bottom w:val="single" w:sz="8" w:space="0" w:color="000000"/>
              <w:right w:val="nil"/>
            </w:tcBorders>
          </w:tcPr>
          <w:p>
            <w:pPr>
              <w:pStyle w:val="TableParagraph"/>
              <w:ind w:right="28"/>
              <w:rPr>
                <w:sz w:val="16"/>
              </w:rPr>
            </w:pPr>
            <w:r>
              <w:rPr>
                <w:sz w:val="16"/>
              </w:rPr>
              <w:t>33,55%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6513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Ostale upravne pristojbe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91.141,70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50.692,30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55,62%</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6514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Ostale pristojbe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355,89</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2"/>
              <w:rPr>
                <w:sz w:val="18"/>
              </w:rPr>
            </w:pPr>
            <w:r>
              <w:rPr>
                <w:sz w:val="18"/>
              </w:rPr>
              <w:t>301,09</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84,60%</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652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Prihodi po posebnim propisima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147.114,68</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798.000,00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798.000,00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8"/>
              <w:rPr>
                <w:sz w:val="18"/>
              </w:rPr>
            </w:pPr>
            <w:r>
              <w:rPr>
                <w:sz w:val="18"/>
              </w:rPr>
              <w:t>616.387,81</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418,98%</w:t>
            </w:r>
          </w:p>
        </w:tc>
        <w:tc>
          <w:tcPr>
            <w:tcW w:w="1117" w:type="dxa"/>
            <w:tcBorders>
              <w:top w:val="single" w:sz="8" w:space="0" w:color="000000"/>
              <w:left w:val="single" w:sz="2" w:space="0" w:color="000000"/>
              <w:bottom w:val="single" w:sz="8" w:space="0" w:color="000000"/>
              <w:right w:val="nil"/>
            </w:tcBorders>
          </w:tcPr>
          <w:p>
            <w:pPr>
              <w:pStyle w:val="TableParagraph"/>
              <w:ind w:right="28"/>
              <w:rPr>
                <w:sz w:val="16"/>
              </w:rPr>
            </w:pPr>
            <w:r>
              <w:rPr>
                <w:sz w:val="16"/>
              </w:rPr>
              <w:t>77,24%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6522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Prihodi vodoprivrede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4.135,44</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11.282,94</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272,84%</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6524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Doprinosi za šume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16.904,37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18.658,82</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110,38%</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6525</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Mjesni samodoprinos</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6.285,00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4.550,00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72,39%</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6526</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Ostali nespomenuti prihodi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119.789,87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581.896,05</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485,76%</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653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Komunalni doprinosi i naknade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728.818,21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1.675.000,00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92"/>
              <w:rPr>
                <w:sz w:val="18"/>
              </w:rPr>
            </w:pPr>
            <w:r>
              <w:rPr>
                <w:sz w:val="18"/>
              </w:rPr>
              <w:t>1.675.000,00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8"/>
              <w:rPr>
                <w:sz w:val="18"/>
              </w:rPr>
            </w:pPr>
            <w:r>
              <w:rPr>
                <w:sz w:val="18"/>
              </w:rPr>
              <w:t>530.404,53</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72,78%</w:t>
            </w:r>
          </w:p>
        </w:tc>
        <w:tc>
          <w:tcPr>
            <w:tcW w:w="1117" w:type="dxa"/>
            <w:tcBorders>
              <w:top w:val="single" w:sz="8" w:space="0" w:color="000000"/>
              <w:left w:val="single" w:sz="2" w:space="0" w:color="000000"/>
              <w:bottom w:val="single" w:sz="8" w:space="0" w:color="000000"/>
              <w:right w:val="nil"/>
            </w:tcBorders>
          </w:tcPr>
          <w:p>
            <w:pPr>
              <w:pStyle w:val="TableParagraph"/>
              <w:ind w:right="28"/>
              <w:rPr>
                <w:sz w:val="16"/>
              </w:rPr>
            </w:pPr>
            <w:r>
              <w:rPr>
                <w:sz w:val="16"/>
              </w:rPr>
              <w:t>31,67%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6531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Komunalni doprinosi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165.547,20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134.707,28</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81,37%</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6532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Komunalne naknade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545.861,01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387.844,25</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71,05%</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6533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Naknade za priključak</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17.410,00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7.853,00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45,11%</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481"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10"/>
              <w:rPr>
                <w:rFonts w:ascii="Verdana"/>
                <w:sz w:val="18"/>
              </w:rPr>
            </w:pPr>
            <w:r>
              <w:rPr>
                <w:rFonts w:ascii="Verdana"/>
                <w:sz w:val="18"/>
              </w:rPr>
              <w:t>66</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line="237" w:lineRule="auto"/>
              <w:ind w:left="92" w:right="289"/>
              <w:jc w:val="left"/>
              <w:rPr>
                <w:rFonts w:ascii="Verdana" w:hAnsi="Verdana"/>
                <w:sz w:val="18"/>
              </w:rPr>
            </w:pPr>
            <w:r>
              <w:rPr>
                <w:rFonts w:ascii="Verdana" w:hAnsi="Verdana"/>
                <w:sz w:val="18"/>
              </w:rPr>
              <w:t>Prihodi od prodaje proizvoda i roba te pruženih usluga i ph od donacija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6"/>
              <w:rPr>
                <w:rFonts w:ascii="Verdana"/>
                <w:sz w:val="18"/>
              </w:rPr>
            </w:pPr>
            <w:r>
              <w:rPr>
                <w:rFonts w:ascii="Verdana"/>
                <w:sz w:val="18"/>
              </w:rPr>
              <w:t>537.735,00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8"/>
              <w:rPr>
                <w:rFonts w:ascii="Verdana"/>
                <w:sz w:val="18"/>
              </w:rPr>
            </w:pPr>
            <w:r>
              <w:rPr>
                <w:rFonts w:ascii="Verdana"/>
                <w:sz w:val="18"/>
              </w:rPr>
              <w:t>1.133.000,00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2"/>
              <w:rPr>
                <w:rFonts w:ascii="Verdana"/>
                <w:sz w:val="18"/>
              </w:rPr>
            </w:pPr>
            <w:r>
              <w:rPr>
                <w:rFonts w:ascii="Verdana"/>
                <w:sz w:val="18"/>
              </w:rPr>
              <w:t>1.133.000,00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7"/>
              <w:rPr>
                <w:rFonts w:ascii="Verdana"/>
                <w:sz w:val="18"/>
              </w:rPr>
            </w:pPr>
            <w:r>
              <w:rPr>
                <w:rFonts w:ascii="Verdana"/>
                <w:sz w:val="18"/>
              </w:rPr>
              <w:t>584.509,00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8"/>
              <w:ind w:right="33"/>
              <w:rPr>
                <w:rFonts w:ascii="Verdana"/>
                <w:sz w:val="18"/>
              </w:rPr>
            </w:pPr>
            <w:r>
              <w:rPr>
                <w:rFonts w:ascii="Verdana"/>
                <w:sz w:val="18"/>
              </w:rPr>
              <w:t>108,70%</w:t>
            </w:r>
          </w:p>
        </w:tc>
        <w:tc>
          <w:tcPr>
            <w:tcW w:w="1117" w:type="dxa"/>
            <w:tcBorders>
              <w:top w:val="single" w:sz="8" w:space="0" w:color="000000"/>
              <w:left w:val="single" w:sz="2" w:space="0" w:color="000000"/>
              <w:bottom w:val="single" w:sz="8" w:space="0" w:color="000000"/>
              <w:right w:val="nil"/>
            </w:tcBorders>
          </w:tcPr>
          <w:p>
            <w:pPr>
              <w:pStyle w:val="TableParagraph"/>
              <w:spacing w:before="8"/>
              <w:ind w:right="31"/>
              <w:rPr>
                <w:rFonts w:ascii="Verdana"/>
                <w:sz w:val="18"/>
              </w:rPr>
            </w:pPr>
            <w:r>
              <w:rPr>
                <w:rFonts w:ascii="Verdana"/>
                <w:sz w:val="18"/>
              </w:rPr>
              <w:t>51,59%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661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Prihodi od prodaje proizvoda i robe te pruženih usluga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531.433,00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1.078.000,00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92"/>
              <w:rPr>
                <w:sz w:val="18"/>
              </w:rPr>
            </w:pPr>
            <w:r>
              <w:rPr>
                <w:sz w:val="18"/>
              </w:rPr>
              <w:t>1.078.000,00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8"/>
              <w:rPr>
                <w:sz w:val="18"/>
              </w:rPr>
            </w:pPr>
            <w:r>
              <w:rPr>
                <w:sz w:val="18"/>
              </w:rPr>
              <w:t>560.209,00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105,41%</w:t>
            </w:r>
          </w:p>
        </w:tc>
        <w:tc>
          <w:tcPr>
            <w:tcW w:w="1117" w:type="dxa"/>
            <w:tcBorders>
              <w:top w:val="single" w:sz="8" w:space="0" w:color="000000"/>
              <w:left w:val="single" w:sz="2" w:space="0" w:color="000000"/>
              <w:bottom w:val="single" w:sz="8" w:space="0" w:color="000000"/>
              <w:right w:val="nil"/>
            </w:tcBorders>
          </w:tcPr>
          <w:p>
            <w:pPr>
              <w:pStyle w:val="TableParagraph"/>
              <w:ind w:right="28"/>
              <w:rPr>
                <w:sz w:val="16"/>
              </w:rPr>
            </w:pPr>
            <w:r>
              <w:rPr>
                <w:sz w:val="16"/>
              </w:rPr>
              <w:t>51,97%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6614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Prihodi od prodaje proizvoda i roba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2.037,00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6.550,00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321,55%</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6615</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Prihodi od pruženih usluga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529.396,00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553.659,00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104,58%</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663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Donacije od pravnih i fizičkih osoba izvan opće države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6.302,00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2"/>
              <w:rPr>
                <w:sz w:val="18"/>
              </w:rPr>
            </w:pPr>
            <w:r>
              <w:rPr>
                <w:sz w:val="18"/>
              </w:rPr>
              <w:t>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24.300,00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385,59%</w:t>
            </w:r>
          </w:p>
        </w:tc>
        <w:tc>
          <w:tcPr>
            <w:tcW w:w="1117" w:type="dxa"/>
            <w:tcBorders>
              <w:top w:val="single" w:sz="8" w:space="0" w:color="000000"/>
              <w:left w:val="single" w:sz="2" w:space="0" w:color="000000"/>
              <w:bottom w:val="single" w:sz="8" w:space="0" w:color="000000"/>
              <w:right w:val="nil"/>
            </w:tcBorders>
          </w:tcPr>
          <w:p>
            <w:pPr>
              <w:pStyle w:val="TableParagraph"/>
              <w:ind w:right="28"/>
              <w:rPr>
                <w:sz w:val="16"/>
              </w:rPr>
            </w:pPr>
            <w:r>
              <w:rPr>
                <w:sz w:val="16"/>
              </w:rPr>
              <w:t>44,18%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6631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1.302,00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24.300,00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1866,36%</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6632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Kapitalne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67"/>
              <w:rPr>
                <w:sz w:val="18"/>
              </w:rPr>
            </w:pPr>
            <w:r>
              <w:rPr>
                <w:sz w:val="18"/>
              </w:rPr>
              <w:t>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8"/>
              <w:rPr>
                <w:sz w:val="16"/>
              </w:rPr>
            </w:pPr>
            <w:r>
              <w:rPr>
                <w:sz w:val="16"/>
              </w:rPr>
              <w:t>0,00%</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10"/>
              <w:rPr>
                <w:rFonts w:ascii="Verdana"/>
                <w:sz w:val="18"/>
              </w:rPr>
            </w:pPr>
            <w:r>
              <w:rPr>
                <w:rFonts w:ascii="Verdana"/>
                <w:sz w:val="18"/>
              </w:rPr>
              <w:t>68</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8"/>
              <w:ind w:left="92"/>
              <w:jc w:val="left"/>
              <w:rPr>
                <w:rFonts w:ascii="Verdana"/>
                <w:sz w:val="18"/>
              </w:rPr>
            </w:pPr>
            <w:r>
              <w:rPr>
                <w:rFonts w:ascii="Verdana"/>
                <w:w w:val="105"/>
                <w:sz w:val="18"/>
              </w:rPr>
              <w:t>Kazne, upravne mjere i ostali prihodi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2"/>
              <w:rPr>
                <w:rFonts w:ascii="Verdana"/>
                <w:sz w:val="18"/>
              </w:rPr>
            </w:pPr>
            <w:r>
              <w:rPr>
                <w:rFonts w:ascii="Verdana"/>
                <w:sz w:val="18"/>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4"/>
              <w:rPr>
                <w:rFonts w:ascii="Verdana"/>
                <w:sz w:val="18"/>
              </w:rPr>
            </w:pPr>
            <w:r>
              <w:rPr>
                <w:rFonts w:ascii="Verdana"/>
                <w:sz w:val="18"/>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1"/>
              <w:rPr>
                <w:rFonts w:ascii="Verdana"/>
                <w:sz w:val="18"/>
              </w:rPr>
            </w:pPr>
            <w:r>
              <w:rPr>
                <w:rFonts w:ascii="Verdana"/>
                <w:sz w:val="18"/>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6"/>
              <w:rPr>
                <w:rFonts w:ascii="Verdana"/>
                <w:sz w:val="18"/>
              </w:rPr>
            </w:pPr>
            <w:r>
              <w:rPr>
                <w:rFonts w:ascii="Verdana"/>
                <w:sz w:val="18"/>
              </w:rPr>
              <w:t>200,00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117" w:type="dxa"/>
            <w:tcBorders>
              <w:top w:val="single" w:sz="8" w:space="0" w:color="000000"/>
              <w:left w:val="single" w:sz="2" w:space="0" w:color="000000"/>
              <w:bottom w:val="single" w:sz="8" w:space="0" w:color="000000"/>
              <w:right w:val="nil"/>
            </w:tcBorders>
          </w:tcPr>
          <w:p>
            <w:pPr>
              <w:pStyle w:val="TableParagraph"/>
              <w:spacing w:before="8"/>
              <w:ind w:right="33"/>
              <w:rPr>
                <w:rFonts w:ascii="Verdana"/>
                <w:sz w:val="18"/>
              </w:rPr>
            </w:pPr>
            <w:r>
              <w:rPr>
                <w:rFonts w:ascii="Verdana"/>
                <w:sz w:val="18"/>
              </w:rPr>
              <w:t>20,00%</w:t>
            </w:r>
          </w:p>
        </w:tc>
      </w:tr>
      <w:tr>
        <w:trPr>
          <w:trHeight w:val="282" w:hRule="atLeast"/>
        </w:trPr>
        <w:tc>
          <w:tcPr>
            <w:tcW w:w="734" w:type="dxa"/>
            <w:tcBorders>
              <w:top w:val="single" w:sz="8" w:space="0" w:color="000000"/>
              <w:left w:val="nil"/>
              <w:bottom w:val="nil"/>
              <w:right w:val="single" w:sz="2" w:space="0" w:color="000000"/>
            </w:tcBorders>
          </w:tcPr>
          <w:p>
            <w:pPr>
              <w:pStyle w:val="TableParagraph"/>
              <w:spacing w:before="9"/>
              <w:ind w:right="13"/>
              <w:rPr>
                <w:sz w:val="18"/>
              </w:rPr>
            </w:pPr>
            <w:r>
              <w:rPr>
                <w:sz w:val="18"/>
              </w:rPr>
              <w:t>681</w:t>
            </w:r>
          </w:p>
        </w:tc>
        <w:tc>
          <w:tcPr>
            <w:tcW w:w="399"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nil"/>
              <w:right w:val="single" w:sz="2" w:space="0" w:color="000000"/>
            </w:tcBorders>
          </w:tcPr>
          <w:p>
            <w:pPr>
              <w:pStyle w:val="TableParagraph"/>
              <w:spacing w:before="9"/>
              <w:ind w:left="92"/>
              <w:jc w:val="left"/>
              <w:rPr>
                <w:sz w:val="18"/>
              </w:rPr>
            </w:pPr>
            <w:r>
              <w:rPr>
                <w:sz w:val="18"/>
              </w:rPr>
              <w:t>Kazne i upravne mjere</w:t>
            </w:r>
          </w:p>
        </w:tc>
        <w:tc>
          <w:tcPr>
            <w:tcW w:w="1833" w:type="dxa"/>
            <w:tcBorders>
              <w:top w:val="single" w:sz="8" w:space="0" w:color="000000"/>
              <w:left w:val="single" w:sz="2" w:space="0" w:color="000000"/>
              <w:bottom w:val="nil"/>
              <w:right w:val="single" w:sz="2" w:space="0" w:color="000000"/>
            </w:tcBorders>
          </w:tcPr>
          <w:p>
            <w:pPr>
              <w:pStyle w:val="TableParagraph"/>
              <w:spacing w:before="9"/>
              <w:ind w:right="74"/>
              <w:rPr>
                <w:sz w:val="18"/>
              </w:rPr>
            </w:pPr>
            <w:r>
              <w:rPr>
                <w:sz w:val="18"/>
              </w:rPr>
              <w:t>0,00</w:t>
            </w:r>
          </w:p>
        </w:tc>
        <w:tc>
          <w:tcPr>
            <w:tcW w:w="1831" w:type="dxa"/>
            <w:tcBorders>
              <w:top w:val="single" w:sz="8" w:space="0" w:color="000000"/>
              <w:left w:val="single" w:sz="2" w:space="0" w:color="000000"/>
              <w:bottom w:val="nil"/>
              <w:right w:val="single" w:sz="2" w:space="0" w:color="000000"/>
            </w:tcBorders>
          </w:tcPr>
          <w:p>
            <w:pPr>
              <w:pStyle w:val="TableParagraph"/>
              <w:spacing w:before="9"/>
              <w:ind w:right="70"/>
              <w:rPr>
                <w:sz w:val="18"/>
              </w:rPr>
            </w:pPr>
            <w:r>
              <w:rPr>
                <w:sz w:val="18"/>
              </w:rPr>
              <w:t>1.000,00</w:t>
            </w:r>
          </w:p>
        </w:tc>
        <w:tc>
          <w:tcPr>
            <w:tcW w:w="1831" w:type="dxa"/>
            <w:tcBorders>
              <w:top w:val="single" w:sz="8" w:space="0" w:color="000000"/>
              <w:left w:val="single" w:sz="2" w:space="0" w:color="000000"/>
              <w:bottom w:val="nil"/>
              <w:right w:val="single" w:sz="2" w:space="0" w:color="000000"/>
            </w:tcBorders>
          </w:tcPr>
          <w:p>
            <w:pPr>
              <w:pStyle w:val="TableParagraph"/>
              <w:spacing w:before="9"/>
              <w:ind w:right="86"/>
              <w:rPr>
                <w:sz w:val="18"/>
              </w:rPr>
            </w:pPr>
            <w:r>
              <w:rPr>
                <w:sz w:val="18"/>
              </w:rPr>
              <w:t>1.000,00</w:t>
            </w:r>
          </w:p>
        </w:tc>
        <w:tc>
          <w:tcPr>
            <w:tcW w:w="1831" w:type="dxa"/>
            <w:tcBorders>
              <w:top w:val="single" w:sz="8" w:space="0" w:color="000000"/>
              <w:left w:val="single" w:sz="2" w:space="0" w:color="000000"/>
              <w:bottom w:val="nil"/>
              <w:right w:val="single" w:sz="2" w:space="0" w:color="000000"/>
            </w:tcBorders>
          </w:tcPr>
          <w:p>
            <w:pPr>
              <w:pStyle w:val="TableParagraph"/>
              <w:spacing w:before="9"/>
              <w:ind w:right="72"/>
              <w:rPr>
                <w:sz w:val="18"/>
              </w:rPr>
            </w:pPr>
            <w:r>
              <w:rPr>
                <w:sz w:val="18"/>
              </w:rPr>
              <w:t>200,00</w:t>
            </w:r>
          </w:p>
        </w:tc>
        <w:tc>
          <w:tcPr>
            <w:tcW w:w="1116"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8"/>
              </w:rPr>
            </w:pPr>
          </w:p>
        </w:tc>
        <w:tc>
          <w:tcPr>
            <w:tcW w:w="1117" w:type="dxa"/>
            <w:tcBorders>
              <w:top w:val="single" w:sz="8" w:space="0" w:color="000000"/>
              <w:left w:val="single" w:sz="2" w:space="0" w:color="000000"/>
              <w:bottom w:val="nil"/>
              <w:right w:val="nil"/>
            </w:tcBorders>
          </w:tcPr>
          <w:p>
            <w:pPr>
              <w:pStyle w:val="TableParagraph"/>
              <w:ind w:right="29"/>
              <w:rPr>
                <w:sz w:val="16"/>
              </w:rPr>
            </w:pPr>
            <w:r>
              <w:rPr>
                <w:sz w:val="16"/>
              </w:rPr>
              <w:t>20,00%</w:t>
            </w:r>
          </w:p>
        </w:tc>
      </w:tr>
    </w:tbl>
    <w:p>
      <w:pPr>
        <w:spacing w:after="0"/>
        <w:rPr>
          <w:sz w:val="16"/>
        </w:rPr>
        <w:sectPr>
          <w:footerReference w:type="default" r:id="rId7"/>
          <w:pgSz w:w="16840" w:h="11900" w:orient="landscape"/>
          <w:pgMar w:footer="718" w:header="0" w:top="1100" w:bottom="900" w:left="740" w:right="340"/>
          <w:pgNumType w:start="3"/>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399"/>
        <w:gridCol w:w="4672"/>
        <w:gridCol w:w="1833"/>
        <w:gridCol w:w="1831"/>
        <w:gridCol w:w="1831"/>
        <w:gridCol w:w="1831"/>
        <w:gridCol w:w="1116"/>
        <w:gridCol w:w="1120"/>
      </w:tblGrid>
      <w:tr>
        <w:trPr>
          <w:trHeight w:val="828" w:hRule="atLeast"/>
        </w:trPr>
        <w:tc>
          <w:tcPr>
            <w:tcW w:w="15367" w:type="dxa"/>
            <w:gridSpan w:val="9"/>
            <w:tcBorders>
              <w:left w:val="nil"/>
              <w:bottom w:val="single" w:sz="8" w:space="0" w:color="000000"/>
              <w:right w:val="nil"/>
            </w:tcBorders>
            <w:shd w:val="clear" w:color="auto" w:fill="C0C0C0"/>
          </w:tcPr>
          <w:p>
            <w:pPr>
              <w:pStyle w:val="TableParagraph"/>
              <w:spacing w:before="56"/>
              <w:ind w:left="1640"/>
              <w:jc w:val="left"/>
              <w:rPr>
                <w:rFonts w:ascii="Century" w:hAnsi="Century"/>
                <w:sz w:val="28"/>
              </w:rPr>
            </w:pPr>
            <w:r>
              <w:rPr>
                <w:rFonts w:ascii="Century" w:hAnsi="Century"/>
                <w:sz w:val="28"/>
              </w:rPr>
              <w:t>POLUGODIŠNJI IZVJEŠTAJ O IZVRŠENJU PRORAČUNA GRADA OZLJA ZA 2014. GODINU</w:t>
            </w:r>
          </w:p>
          <w:p>
            <w:pPr>
              <w:pStyle w:val="TableParagraph"/>
              <w:spacing w:before="67"/>
              <w:ind w:left="5485"/>
              <w:jc w:val="left"/>
              <w:rPr>
                <w:rFonts w:ascii="Times New Roman" w:hAnsi="Times New Roman"/>
                <w:sz w:val="22"/>
              </w:rPr>
            </w:pPr>
            <w:r>
              <w:rPr>
                <w:rFonts w:ascii="Times New Roman" w:hAnsi="Times New Roman"/>
                <w:sz w:val="22"/>
              </w:rPr>
              <w:t>A. RAČUN PRIHODA I RASHODA (PRIHODI)</w:t>
            </w:r>
          </w:p>
        </w:tc>
      </w:tr>
      <w:tr>
        <w:trPr>
          <w:trHeight w:val="846" w:hRule="atLeast"/>
        </w:trPr>
        <w:tc>
          <w:tcPr>
            <w:tcW w:w="1133"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13"/>
              <w:ind w:left="231" w:right="229" w:hanging="49"/>
              <w:jc w:val="center"/>
              <w:rPr>
                <w:sz w:val="20"/>
              </w:rPr>
            </w:pPr>
            <w:r>
              <w:rPr>
                <w:sz w:val="20"/>
              </w:rPr>
              <w:t>Račun/ Pozicija</w:t>
            </w:r>
          </w:p>
          <w:p>
            <w:pPr>
              <w:pStyle w:val="TableParagraph"/>
              <w:spacing w:before="89"/>
              <w:ind w:left="11"/>
              <w:jc w:val="center"/>
              <w:rPr>
                <w:sz w:val="18"/>
              </w:rPr>
            </w:pPr>
            <w:r>
              <w:rPr>
                <w:w w:val="100"/>
                <w:sz w:val="18"/>
              </w:rPr>
              <w:t>1</w:t>
            </w:r>
          </w:p>
        </w:tc>
        <w:tc>
          <w:tcPr>
            <w:tcW w:w="467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2142" w:right="2096"/>
              <w:jc w:val="center"/>
              <w:rPr>
                <w:sz w:val="20"/>
              </w:rPr>
            </w:pPr>
            <w:r>
              <w:rPr>
                <w:sz w:val="20"/>
              </w:rPr>
              <w:t>Opis</w:t>
            </w:r>
          </w:p>
          <w:p>
            <w:pPr>
              <w:pStyle w:val="TableParagraph"/>
              <w:spacing w:before="2"/>
              <w:jc w:val="left"/>
              <w:rPr>
                <w:rFonts w:ascii="Times New Roman"/>
                <w:sz w:val="29"/>
              </w:rPr>
            </w:pPr>
          </w:p>
          <w:p>
            <w:pPr>
              <w:pStyle w:val="TableParagraph"/>
              <w:spacing w:before="0"/>
              <w:ind w:left="41"/>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8"/>
              <w:ind w:left="146" w:right="132"/>
              <w:jc w:val="center"/>
              <w:rPr>
                <w:sz w:val="20"/>
              </w:rPr>
            </w:pPr>
            <w:r>
              <w:rPr>
                <w:sz w:val="20"/>
              </w:rPr>
              <w:t>Izvršenje 01.01.-</w:t>
            </w:r>
          </w:p>
          <w:p>
            <w:pPr>
              <w:pStyle w:val="TableParagraph"/>
              <w:spacing w:line="241" w:lineRule="exact" w:before="0"/>
              <w:ind w:left="95" w:right="138"/>
              <w:jc w:val="center"/>
              <w:rPr>
                <w:sz w:val="20"/>
              </w:rPr>
            </w:pPr>
            <w:r>
              <w:rPr>
                <w:sz w:val="20"/>
              </w:rPr>
              <w:t>30.06.2013.</w:t>
            </w:r>
          </w:p>
          <w:p>
            <w:pPr>
              <w:pStyle w:val="TableParagraph"/>
              <w:spacing w:before="91"/>
              <w:ind w:left="16"/>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0" w:right="131"/>
              <w:jc w:val="center"/>
              <w:rPr>
                <w:sz w:val="20"/>
              </w:rPr>
            </w:pPr>
            <w:r>
              <w:rPr>
                <w:sz w:val="20"/>
              </w:rPr>
              <w:t>Izvorni plan za 2014. godinu</w:t>
            </w:r>
          </w:p>
          <w:p>
            <w:pPr>
              <w:pStyle w:val="TableParagraph"/>
              <w:spacing w:before="89"/>
              <w:ind w:left="33"/>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70" w:right="131"/>
              <w:jc w:val="center"/>
              <w:rPr>
                <w:sz w:val="20"/>
              </w:rPr>
            </w:pPr>
            <w:r>
              <w:rPr>
                <w:sz w:val="20"/>
              </w:rPr>
              <w:t>Tekući plan za 2014. godinu</w:t>
            </w:r>
          </w:p>
          <w:p>
            <w:pPr>
              <w:pStyle w:val="TableParagraph"/>
              <w:spacing w:before="94"/>
              <w:jc w:val="center"/>
              <w:rPr>
                <w:sz w:val="18"/>
              </w:rPr>
            </w:pPr>
            <w:r>
              <w:rPr>
                <w:w w:val="100"/>
                <w:sz w:val="18"/>
              </w:rPr>
              <w:t>5</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2"/>
              <w:jc w:val="center"/>
              <w:rPr>
                <w:sz w:val="20"/>
              </w:rPr>
            </w:pPr>
            <w:r>
              <w:rPr>
                <w:sz w:val="20"/>
              </w:rPr>
              <w:t>Izvršenje 01.01.-</w:t>
            </w:r>
          </w:p>
          <w:p>
            <w:pPr>
              <w:pStyle w:val="TableParagraph"/>
              <w:spacing w:line="241" w:lineRule="exact" w:before="0"/>
              <w:ind w:left="102" w:right="131"/>
              <w:jc w:val="center"/>
              <w:rPr>
                <w:sz w:val="20"/>
              </w:rPr>
            </w:pPr>
            <w:r>
              <w:rPr>
                <w:sz w:val="20"/>
              </w:rPr>
              <w:t>30.06.2014.</w:t>
            </w:r>
          </w:p>
          <w:p>
            <w:pPr>
              <w:pStyle w:val="TableParagraph"/>
              <w:spacing w:before="90"/>
              <w:ind w:left="29"/>
              <w:jc w:val="center"/>
              <w:rPr>
                <w:sz w:val="18"/>
              </w:rPr>
            </w:pPr>
            <w:r>
              <w:rPr>
                <w:w w:val="100"/>
                <w:sz w:val="18"/>
              </w:rPr>
              <w:t>6</w:t>
            </w:r>
          </w:p>
        </w:tc>
        <w:tc>
          <w:tcPr>
            <w:tcW w:w="1116"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268" w:right="250"/>
              <w:jc w:val="center"/>
              <w:rPr>
                <w:sz w:val="20"/>
              </w:rPr>
            </w:pPr>
            <w:r>
              <w:rPr>
                <w:w w:val="95"/>
                <w:sz w:val="20"/>
              </w:rPr>
              <w:t>Indeks </w:t>
            </w:r>
            <w:r>
              <w:rPr>
                <w:sz w:val="20"/>
              </w:rPr>
              <w:t>6/3</w:t>
            </w:r>
          </w:p>
          <w:p>
            <w:pPr>
              <w:pStyle w:val="TableParagraph"/>
              <w:spacing w:before="89"/>
              <w:ind w:left="20"/>
              <w:jc w:val="center"/>
              <w:rPr>
                <w:sz w:val="18"/>
              </w:rPr>
            </w:pPr>
            <w:r>
              <w:rPr>
                <w:w w:val="100"/>
                <w:sz w:val="18"/>
              </w:rPr>
              <w:t>7</w:t>
            </w:r>
          </w:p>
        </w:tc>
        <w:tc>
          <w:tcPr>
            <w:tcW w:w="1120"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9" w:right="267"/>
              <w:jc w:val="center"/>
              <w:rPr>
                <w:sz w:val="20"/>
              </w:rPr>
            </w:pPr>
            <w:r>
              <w:rPr>
                <w:w w:val="95"/>
                <w:sz w:val="20"/>
              </w:rPr>
              <w:t>Indeks </w:t>
            </w:r>
            <w:r>
              <w:rPr>
                <w:sz w:val="20"/>
              </w:rPr>
              <w:t>6/5</w:t>
            </w:r>
          </w:p>
          <w:p>
            <w:pPr>
              <w:pStyle w:val="TableParagraph"/>
              <w:spacing w:before="89"/>
              <w:ind w:right="3"/>
              <w:jc w:val="center"/>
              <w:rPr>
                <w:sz w:val="18"/>
              </w:rPr>
            </w:pPr>
            <w:r>
              <w:rPr>
                <w:w w:val="100"/>
                <w:sz w:val="18"/>
              </w:rPr>
              <w:t>8</w:t>
            </w:r>
          </w:p>
        </w:tc>
      </w:tr>
      <w:tr>
        <w:trPr>
          <w:trHeight w:val="271" w:hRule="atLeast"/>
        </w:trPr>
        <w:tc>
          <w:tcPr>
            <w:tcW w:w="734" w:type="dxa"/>
            <w:tcBorders>
              <w:top w:val="single" w:sz="8" w:space="0" w:color="000000"/>
              <w:left w:val="nil"/>
              <w:right w:val="single" w:sz="2" w:space="0" w:color="000000"/>
            </w:tcBorders>
          </w:tcPr>
          <w:p>
            <w:pPr>
              <w:pStyle w:val="TableParagraph"/>
              <w:spacing w:before="9"/>
              <w:ind w:left="320"/>
              <w:jc w:val="left"/>
              <w:rPr>
                <w:sz w:val="18"/>
              </w:rPr>
            </w:pPr>
            <w:r>
              <w:rPr>
                <w:sz w:val="18"/>
              </w:rPr>
              <w:t>6819</w:t>
            </w:r>
          </w:p>
        </w:tc>
        <w:tc>
          <w:tcPr>
            <w:tcW w:w="399"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right w:val="single" w:sz="2" w:space="0" w:color="000000"/>
            </w:tcBorders>
          </w:tcPr>
          <w:p>
            <w:pPr>
              <w:pStyle w:val="TableParagraph"/>
              <w:spacing w:before="9"/>
              <w:ind w:left="92"/>
              <w:jc w:val="left"/>
              <w:rPr>
                <w:sz w:val="18"/>
              </w:rPr>
            </w:pPr>
            <w:r>
              <w:rPr>
                <w:sz w:val="18"/>
              </w:rPr>
              <w:t>Ostale kazne</w:t>
            </w:r>
          </w:p>
        </w:tc>
        <w:tc>
          <w:tcPr>
            <w:tcW w:w="1833" w:type="dxa"/>
            <w:tcBorders>
              <w:top w:val="single" w:sz="8" w:space="0" w:color="000000"/>
              <w:left w:val="single" w:sz="2" w:space="0" w:color="000000"/>
              <w:right w:val="single" w:sz="2" w:space="0" w:color="000000"/>
            </w:tcBorders>
          </w:tcPr>
          <w:p>
            <w:pPr>
              <w:pStyle w:val="TableParagraph"/>
              <w:spacing w:before="9"/>
              <w:ind w:right="74"/>
              <w:rPr>
                <w:sz w:val="18"/>
              </w:rPr>
            </w:pPr>
            <w:r>
              <w:rPr>
                <w:sz w:val="18"/>
              </w:rPr>
              <w:t>0,00</w:t>
            </w:r>
          </w:p>
        </w:tc>
        <w:tc>
          <w:tcPr>
            <w:tcW w:w="1831"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right w:val="single" w:sz="2" w:space="0" w:color="000000"/>
            </w:tcBorders>
          </w:tcPr>
          <w:p>
            <w:pPr>
              <w:pStyle w:val="TableParagraph"/>
              <w:spacing w:before="9"/>
              <w:ind w:left="1205"/>
              <w:jc w:val="left"/>
              <w:rPr>
                <w:sz w:val="18"/>
              </w:rPr>
            </w:pPr>
            <w:r>
              <w:rPr>
                <w:sz w:val="18"/>
              </w:rPr>
              <w:t>200,00</w:t>
            </w:r>
          </w:p>
        </w:tc>
        <w:tc>
          <w:tcPr>
            <w:tcW w:w="1116"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1120" w:type="dxa"/>
            <w:tcBorders>
              <w:top w:val="single" w:sz="8" w:space="0" w:color="000000"/>
              <w:left w:val="single" w:sz="2" w:space="0" w:color="000000"/>
              <w:right w:val="nil"/>
            </w:tcBorders>
          </w:tcPr>
          <w:p>
            <w:pPr>
              <w:pStyle w:val="TableParagraph"/>
              <w:spacing w:before="0"/>
              <w:jc w:val="left"/>
              <w:rPr>
                <w:rFonts w:ascii="Times New Roman"/>
                <w:sz w:val="18"/>
              </w:rPr>
            </w:pPr>
          </w:p>
        </w:tc>
      </w:tr>
    </w:tbl>
    <w:p>
      <w:pPr>
        <w:pStyle w:val="BodyText"/>
        <w:rPr>
          <w:sz w:val="20"/>
        </w:rPr>
      </w:pPr>
    </w:p>
    <w:p>
      <w:pPr>
        <w:pStyle w:val="BodyText"/>
        <w:spacing w:before="9"/>
        <w:rPr>
          <w:sz w:val="17"/>
        </w:rPr>
      </w:pPr>
    </w:p>
    <w:tbl>
      <w:tblPr>
        <w:tblW w:w="0" w:type="auto"/>
        <w:jc w:val="left"/>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400"/>
        <w:gridCol w:w="4672"/>
        <w:gridCol w:w="1830"/>
        <w:gridCol w:w="1830"/>
        <w:gridCol w:w="1830"/>
        <w:gridCol w:w="1830"/>
        <w:gridCol w:w="1115"/>
        <w:gridCol w:w="1120"/>
      </w:tblGrid>
      <w:tr>
        <w:trPr>
          <w:trHeight w:val="265" w:hRule="atLeast"/>
        </w:trPr>
        <w:tc>
          <w:tcPr>
            <w:tcW w:w="734" w:type="dxa"/>
            <w:tcBorders>
              <w:left w:val="nil"/>
              <w:right w:val="single" w:sz="2" w:space="0" w:color="000000"/>
            </w:tcBorders>
          </w:tcPr>
          <w:p>
            <w:pPr>
              <w:pStyle w:val="TableParagraph"/>
              <w:spacing w:line="238" w:lineRule="exact" w:before="7"/>
              <w:ind w:right="7"/>
              <w:rPr>
                <w:rFonts w:ascii="Verdana"/>
                <w:sz w:val="20"/>
              </w:rPr>
            </w:pPr>
            <w:r>
              <w:rPr>
                <w:rFonts w:ascii="Verdana"/>
                <w:w w:val="100"/>
                <w:sz w:val="20"/>
              </w:rPr>
              <w:t>7</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line="238" w:lineRule="exact" w:before="7"/>
              <w:ind w:left="94"/>
              <w:jc w:val="left"/>
              <w:rPr>
                <w:rFonts w:ascii="Verdana"/>
                <w:sz w:val="20"/>
              </w:rPr>
            </w:pPr>
            <w:r>
              <w:rPr>
                <w:rFonts w:ascii="Verdana"/>
                <w:sz w:val="20"/>
              </w:rPr>
              <w:t>Prihodi od prodaje nefinancijske imovine</w:t>
            </w:r>
          </w:p>
        </w:tc>
        <w:tc>
          <w:tcPr>
            <w:tcW w:w="1830" w:type="dxa"/>
            <w:tcBorders>
              <w:left w:val="single" w:sz="2" w:space="0" w:color="000000"/>
              <w:right w:val="single" w:sz="2" w:space="0" w:color="000000"/>
            </w:tcBorders>
          </w:tcPr>
          <w:p>
            <w:pPr>
              <w:pStyle w:val="TableParagraph"/>
              <w:spacing w:line="238" w:lineRule="exact" w:before="7"/>
              <w:ind w:right="71"/>
              <w:rPr>
                <w:rFonts w:ascii="Verdana"/>
                <w:sz w:val="20"/>
              </w:rPr>
            </w:pPr>
            <w:r>
              <w:rPr>
                <w:rFonts w:ascii="Verdana"/>
                <w:sz w:val="20"/>
              </w:rPr>
              <w:t>25.505,71</w:t>
            </w:r>
          </w:p>
        </w:tc>
        <w:tc>
          <w:tcPr>
            <w:tcW w:w="1830" w:type="dxa"/>
            <w:tcBorders>
              <w:left w:val="single" w:sz="2" w:space="0" w:color="000000"/>
              <w:right w:val="single" w:sz="2" w:space="0" w:color="000000"/>
            </w:tcBorders>
          </w:tcPr>
          <w:p>
            <w:pPr>
              <w:pStyle w:val="TableParagraph"/>
              <w:spacing w:line="238" w:lineRule="exact" w:before="7"/>
              <w:ind w:right="60"/>
              <w:rPr>
                <w:rFonts w:ascii="Verdana"/>
                <w:sz w:val="20"/>
              </w:rPr>
            </w:pPr>
            <w:r>
              <w:rPr>
                <w:rFonts w:ascii="Verdana"/>
                <w:sz w:val="20"/>
              </w:rPr>
              <w:t>89.000,00</w:t>
            </w:r>
          </w:p>
        </w:tc>
        <w:tc>
          <w:tcPr>
            <w:tcW w:w="1830" w:type="dxa"/>
            <w:tcBorders>
              <w:left w:val="single" w:sz="2" w:space="0" w:color="000000"/>
              <w:right w:val="single" w:sz="2" w:space="0" w:color="000000"/>
            </w:tcBorders>
          </w:tcPr>
          <w:p>
            <w:pPr>
              <w:pStyle w:val="TableParagraph"/>
              <w:spacing w:line="238" w:lineRule="exact" w:before="7"/>
              <w:ind w:right="75"/>
              <w:rPr>
                <w:rFonts w:ascii="Verdana"/>
                <w:sz w:val="20"/>
              </w:rPr>
            </w:pPr>
            <w:r>
              <w:rPr>
                <w:rFonts w:ascii="Verdana"/>
                <w:sz w:val="20"/>
              </w:rPr>
              <w:t>89.000,00</w:t>
            </w:r>
          </w:p>
        </w:tc>
        <w:tc>
          <w:tcPr>
            <w:tcW w:w="1830" w:type="dxa"/>
            <w:tcBorders>
              <w:left w:val="single" w:sz="2" w:space="0" w:color="000000"/>
              <w:right w:val="single" w:sz="2" w:space="0" w:color="000000"/>
            </w:tcBorders>
          </w:tcPr>
          <w:p>
            <w:pPr>
              <w:pStyle w:val="TableParagraph"/>
              <w:spacing w:line="238" w:lineRule="exact" w:before="7"/>
              <w:ind w:right="62"/>
              <w:rPr>
                <w:rFonts w:ascii="Verdana"/>
                <w:sz w:val="20"/>
              </w:rPr>
            </w:pPr>
            <w:r>
              <w:rPr>
                <w:rFonts w:ascii="Verdana"/>
                <w:sz w:val="20"/>
              </w:rPr>
              <w:t>27.581,07</w:t>
            </w:r>
          </w:p>
        </w:tc>
        <w:tc>
          <w:tcPr>
            <w:tcW w:w="1115" w:type="dxa"/>
            <w:tcBorders>
              <w:left w:val="single" w:sz="2" w:space="0" w:color="000000"/>
              <w:right w:val="single" w:sz="2" w:space="0" w:color="000000"/>
            </w:tcBorders>
          </w:tcPr>
          <w:p>
            <w:pPr>
              <w:pStyle w:val="TableParagraph"/>
              <w:spacing w:line="238" w:lineRule="exact" w:before="7"/>
              <w:ind w:right="24"/>
              <w:rPr>
                <w:rFonts w:ascii="Verdana"/>
                <w:sz w:val="20"/>
              </w:rPr>
            </w:pPr>
            <w:r>
              <w:rPr>
                <w:rFonts w:ascii="Verdana"/>
                <w:sz w:val="20"/>
              </w:rPr>
              <w:t>108,14%</w:t>
            </w:r>
          </w:p>
        </w:tc>
        <w:tc>
          <w:tcPr>
            <w:tcW w:w="1120" w:type="dxa"/>
            <w:tcBorders>
              <w:left w:val="single" w:sz="2" w:space="0" w:color="000000"/>
              <w:right w:val="nil"/>
            </w:tcBorders>
          </w:tcPr>
          <w:p>
            <w:pPr>
              <w:pStyle w:val="TableParagraph"/>
              <w:spacing w:line="238" w:lineRule="exact" w:before="7"/>
              <w:ind w:right="28"/>
              <w:rPr>
                <w:rFonts w:ascii="Verdana"/>
                <w:sz w:val="20"/>
              </w:rPr>
            </w:pPr>
            <w:r>
              <w:rPr>
                <w:rFonts w:ascii="Verdana"/>
                <w:sz w:val="20"/>
              </w:rPr>
              <w:t>30,99%</w:t>
            </w:r>
          </w:p>
        </w:tc>
      </w:tr>
      <w:tr>
        <w:trPr>
          <w:trHeight w:val="267" w:hRule="atLeast"/>
        </w:trPr>
        <w:tc>
          <w:tcPr>
            <w:tcW w:w="734" w:type="dxa"/>
            <w:tcBorders>
              <w:left w:val="nil"/>
              <w:right w:val="single" w:sz="2" w:space="0" w:color="000000"/>
            </w:tcBorders>
          </w:tcPr>
          <w:p>
            <w:pPr>
              <w:pStyle w:val="TableParagraph"/>
              <w:spacing w:before="8"/>
              <w:ind w:right="6"/>
              <w:rPr>
                <w:rFonts w:ascii="Verdana"/>
                <w:sz w:val="18"/>
              </w:rPr>
            </w:pPr>
            <w:r>
              <w:rPr>
                <w:rFonts w:ascii="Verdana"/>
                <w:sz w:val="18"/>
              </w:rPr>
              <w:t>71</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8"/>
              <w:ind w:left="94"/>
              <w:jc w:val="left"/>
              <w:rPr>
                <w:rFonts w:ascii="Verdana"/>
                <w:sz w:val="18"/>
              </w:rPr>
            </w:pPr>
            <w:r>
              <w:rPr>
                <w:rFonts w:ascii="Verdana"/>
                <w:sz w:val="18"/>
              </w:rPr>
              <w:t>Prihodi od prodaje neproizvedene imovine</w:t>
            </w:r>
          </w:p>
        </w:tc>
        <w:tc>
          <w:tcPr>
            <w:tcW w:w="1830" w:type="dxa"/>
            <w:tcBorders>
              <w:left w:val="single" w:sz="2" w:space="0" w:color="000000"/>
              <w:right w:val="single" w:sz="2" w:space="0" w:color="000000"/>
            </w:tcBorders>
          </w:tcPr>
          <w:p>
            <w:pPr>
              <w:pStyle w:val="TableParagraph"/>
              <w:spacing w:before="8"/>
              <w:ind w:right="68"/>
              <w:rPr>
                <w:rFonts w:ascii="Verdana"/>
                <w:sz w:val="18"/>
              </w:rPr>
            </w:pPr>
            <w:r>
              <w:rPr>
                <w:rFonts w:ascii="Verdana"/>
                <w:sz w:val="18"/>
              </w:rPr>
              <w:t>11.549,00</w:t>
            </w:r>
          </w:p>
        </w:tc>
        <w:tc>
          <w:tcPr>
            <w:tcW w:w="1830" w:type="dxa"/>
            <w:tcBorders>
              <w:left w:val="single" w:sz="2" w:space="0" w:color="000000"/>
              <w:right w:val="single" w:sz="2" w:space="0" w:color="000000"/>
            </w:tcBorders>
          </w:tcPr>
          <w:p>
            <w:pPr>
              <w:pStyle w:val="TableParagraph"/>
              <w:spacing w:before="8"/>
              <w:ind w:right="57"/>
              <w:rPr>
                <w:rFonts w:ascii="Verdana"/>
                <w:sz w:val="18"/>
              </w:rPr>
            </w:pPr>
            <w:r>
              <w:rPr>
                <w:rFonts w:ascii="Verdana"/>
                <w:sz w:val="18"/>
              </w:rPr>
              <w:t>59.000,00</w:t>
            </w:r>
          </w:p>
        </w:tc>
        <w:tc>
          <w:tcPr>
            <w:tcW w:w="1830" w:type="dxa"/>
            <w:tcBorders>
              <w:left w:val="single" w:sz="2" w:space="0" w:color="000000"/>
              <w:right w:val="single" w:sz="2" w:space="0" w:color="000000"/>
            </w:tcBorders>
          </w:tcPr>
          <w:p>
            <w:pPr>
              <w:pStyle w:val="TableParagraph"/>
              <w:spacing w:before="8"/>
              <w:ind w:right="72"/>
              <w:rPr>
                <w:rFonts w:ascii="Verdana"/>
                <w:sz w:val="18"/>
              </w:rPr>
            </w:pPr>
            <w:r>
              <w:rPr>
                <w:rFonts w:ascii="Verdana"/>
                <w:sz w:val="18"/>
              </w:rPr>
              <w:t>59.000,00</w:t>
            </w:r>
          </w:p>
        </w:tc>
        <w:tc>
          <w:tcPr>
            <w:tcW w:w="1830" w:type="dxa"/>
            <w:tcBorders>
              <w:left w:val="single" w:sz="2" w:space="0" w:color="000000"/>
              <w:right w:val="single" w:sz="2" w:space="0" w:color="000000"/>
            </w:tcBorders>
          </w:tcPr>
          <w:p>
            <w:pPr>
              <w:pStyle w:val="TableParagraph"/>
              <w:spacing w:before="8"/>
              <w:ind w:right="54"/>
              <w:rPr>
                <w:rFonts w:ascii="Verdana"/>
                <w:sz w:val="18"/>
              </w:rPr>
            </w:pPr>
            <w:r>
              <w:rPr>
                <w:rFonts w:ascii="Verdana"/>
                <w:sz w:val="18"/>
              </w:rPr>
              <w:t>0,00</w:t>
            </w:r>
          </w:p>
        </w:tc>
        <w:tc>
          <w:tcPr>
            <w:tcW w:w="1115" w:type="dxa"/>
            <w:tcBorders>
              <w:left w:val="single" w:sz="2" w:space="0" w:color="000000"/>
              <w:right w:val="single" w:sz="2" w:space="0" w:color="000000"/>
            </w:tcBorders>
          </w:tcPr>
          <w:p>
            <w:pPr>
              <w:pStyle w:val="TableParagraph"/>
              <w:spacing w:before="8"/>
              <w:ind w:right="22"/>
              <w:rPr>
                <w:rFonts w:ascii="Verdana"/>
                <w:sz w:val="18"/>
              </w:rPr>
            </w:pPr>
            <w:r>
              <w:rPr>
                <w:rFonts w:ascii="Verdana"/>
                <w:sz w:val="18"/>
              </w:rPr>
              <w:t>0,00%</w:t>
            </w:r>
          </w:p>
        </w:tc>
        <w:tc>
          <w:tcPr>
            <w:tcW w:w="1120" w:type="dxa"/>
            <w:tcBorders>
              <w:left w:val="single" w:sz="2" w:space="0" w:color="000000"/>
              <w:right w:val="nil"/>
            </w:tcBorders>
          </w:tcPr>
          <w:p>
            <w:pPr>
              <w:pStyle w:val="TableParagraph"/>
              <w:spacing w:before="8"/>
              <w:ind w:right="25"/>
              <w:rPr>
                <w:rFonts w:ascii="Verdana"/>
                <w:sz w:val="18"/>
              </w:rPr>
            </w:pPr>
            <w:r>
              <w:rPr>
                <w:rFonts w:ascii="Verdana"/>
                <w:sz w:val="18"/>
              </w:rPr>
              <w:t>0,00%</w:t>
            </w:r>
          </w:p>
        </w:tc>
      </w:tr>
      <w:tr>
        <w:trPr>
          <w:trHeight w:val="479" w:hRule="atLeast"/>
        </w:trPr>
        <w:tc>
          <w:tcPr>
            <w:tcW w:w="734" w:type="dxa"/>
            <w:tcBorders>
              <w:left w:val="nil"/>
              <w:right w:val="single" w:sz="2" w:space="0" w:color="000000"/>
            </w:tcBorders>
          </w:tcPr>
          <w:p>
            <w:pPr>
              <w:pStyle w:val="TableParagraph"/>
              <w:spacing w:before="9"/>
              <w:ind w:right="9"/>
              <w:rPr>
                <w:sz w:val="18"/>
              </w:rPr>
            </w:pPr>
            <w:r>
              <w:rPr>
                <w:sz w:val="18"/>
              </w:rPr>
              <w:t>711</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Prihodi od prodaje materijalne imovine - prirodnih bogatstava</w:t>
            </w:r>
          </w:p>
        </w:tc>
        <w:tc>
          <w:tcPr>
            <w:tcW w:w="1830" w:type="dxa"/>
            <w:tcBorders>
              <w:left w:val="single" w:sz="2" w:space="0" w:color="000000"/>
              <w:right w:val="single" w:sz="2" w:space="0" w:color="000000"/>
            </w:tcBorders>
          </w:tcPr>
          <w:p>
            <w:pPr>
              <w:pStyle w:val="TableParagraph"/>
              <w:spacing w:before="9"/>
              <w:ind w:right="76"/>
              <w:rPr>
                <w:sz w:val="18"/>
              </w:rPr>
            </w:pPr>
            <w:r>
              <w:rPr>
                <w:sz w:val="18"/>
              </w:rPr>
              <w:t>11.549,00</w:t>
            </w:r>
          </w:p>
        </w:tc>
        <w:tc>
          <w:tcPr>
            <w:tcW w:w="1830" w:type="dxa"/>
            <w:tcBorders>
              <w:left w:val="single" w:sz="2" w:space="0" w:color="000000"/>
              <w:right w:val="single" w:sz="2" w:space="0" w:color="000000"/>
            </w:tcBorders>
          </w:tcPr>
          <w:p>
            <w:pPr>
              <w:pStyle w:val="TableParagraph"/>
              <w:spacing w:before="9"/>
              <w:ind w:right="66"/>
              <w:rPr>
                <w:sz w:val="18"/>
              </w:rPr>
            </w:pPr>
            <w:r>
              <w:rPr>
                <w:sz w:val="18"/>
              </w:rPr>
              <w:t>59.000,00</w:t>
            </w:r>
          </w:p>
        </w:tc>
        <w:tc>
          <w:tcPr>
            <w:tcW w:w="1830" w:type="dxa"/>
            <w:tcBorders>
              <w:left w:val="single" w:sz="2" w:space="0" w:color="000000"/>
              <w:right w:val="single" w:sz="2" w:space="0" w:color="000000"/>
            </w:tcBorders>
          </w:tcPr>
          <w:p>
            <w:pPr>
              <w:pStyle w:val="TableParagraph"/>
              <w:spacing w:before="9"/>
              <w:ind w:right="81"/>
              <w:rPr>
                <w:sz w:val="18"/>
              </w:rPr>
            </w:pPr>
            <w:r>
              <w:rPr>
                <w:sz w:val="18"/>
              </w:rPr>
              <w:t>59.000,00</w:t>
            </w:r>
          </w:p>
        </w:tc>
        <w:tc>
          <w:tcPr>
            <w:tcW w:w="1830" w:type="dxa"/>
            <w:tcBorders>
              <w:left w:val="single" w:sz="2" w:space="0" w:color="000000"/>
              <w:right w:val="single" w:sz="2" w:space="0" w:color="000000"/>
            </w:tcBorders>
          </w:tcPr>
          <w:p>
            <w:pPr>
              <w:pStyle w:val="TableParagraph"/>
              <w:spacing w:before="9"/>
              <w:ind w:right="59"/>
              <w:rPr>
                <w:sz w:val="18"/>
              </w:rPr>
            </w:pPr>
            <w:r>
              <w:rPr>
                <w:sz w:val="18"/>
              </w:rPr>
              <w:t>0,00</w:t>
            </w:r>
          </w:p>
        </w:tc>
        <w:tc>
          <w:tcPr>
            <w:tcW w:w="1115" w:type="dxa"/>
            <w:tcBorders>
              <w:left w:val="single" w:sz="2" w:space="0" w:color="000000"/>
              <w:right w:val="single" w:sz="2" w:space="0" w:color="000000"/>
            </w:tcBorders>
          </w:tcPr>
          <w:p>
            <w:pPr>
              <w:pStyle w:val="TableParagraph"/>
              <w:ind w:right="18"/>
              <w:rPr>
                <w:sz w:val="16"/>
              </w:rPr>
            </w:pPr>
            <w:r>
              <w:rPr>
                <w:sz w:val="16"/>
              </w:rPr>
              <w:t>0,00%</w:t>
            </w:r>
          </w:p>
        </w:tc>
        <w:tc>
          <w:tcPr>
            <w:tcW w:w="1120" w:type="dxa"/>
            <w:tcBorders>
              <w:left w:val="single" w:sz="2" w:space="0" w:color="000000"/>
              <w:right w:val="nil"/>
            </w:tcBorders>
          </w:tcPr>
          <w:p>
            <w:pPr>
              <w:pStyle w:val="TableParagraph"/>
              <w:ind w:right="22"/>
              <w:rPr>
                <w:sz w:val="16"/>
              </w:rPr>
            </w:pPr>
            <w:r>
              <w:rPr>
                <w:sz w:val="16"/>
              </w:rPr>
              <w:t>0,00%</w:t>
            </w:r>
          </w:p>
        </w:tc>
      </w:tr>
      <w:tr>
        <w:trPr>
          <w:trHeight w:val="267" w:hRule="atLeast"/>
        </w:trPr>
        <w:tc>
          <w:tcPr>
            <w:tcW w:w="734" w:type="dxa"/>
            <w:tcBorders>
              <w:left w:val="nil"/>
              <w:right w:val="single" w:sz="2" w:space="0" w:color="000000"/>
            </w:tcBorders>
          </w:tcPr>
          <w:p>
            <w:pPr>
              <w:pStyle w:val="TableParagraph"/>
              <w:spacing w:before="9"/>
              <w:ind w:right="12"/>
              <w:rPr>
                <w:sz w:val="18"/>
              </w:rPr>
            </w:pPr>
            <w:r>
              <w:rPr>
                <w:sz w:val="18"/>
              </w:rPr>
              <w:t>7111</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Zemljište</w:t>
            </w:r>
          </w:p>
        </w:tc>
        <w:tc>
          <w:tcPr>
            <w:tcW w:w="1830" w:type="dxa"/>
            <w:tcBorders>
              <w:left w:val="single" w:sz="2" w:space="0" w:color="000000"/>
              <w:right w:val="single" w:sz="2" w:space="0" w:color="000000"/>
            </w:tcBorders>
          </w:tcPr>
          <w:p>
            <w:pPr>
              <w:pStyle w:val="TableParagraph"/>
              <w:spacing w:before="9"/>
              <w:ind w:right="76"/>
              <w:rPr>
                <w:sz w:val="18"/>
              </w:rPr>
            </w:pPr>
            <w:r>
              <w:rPr>
                <w:sz w:val="18"/>
              </w:rPr>
              <w:t>11.549,00</w:t>
            </w: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9"/>
              <w:ind w:right="58"/>
              <w:rPr>
                <w:sz w:val="18"/>
              </w:rPr>
            </w:pPr>
            <w:r>
              <w:rPr>
                <w:sz w:val="18"/>
              </w:rPr>
              <w:t>0,00</w:t>
            </w:r>
          </w:p>
        </w:tc>
        <w:tc>
          <w:tcPr>
            <w:tcW w:w="1115" w:type="dxa"/>
            <w:tcBorders>
              <w:left w:val="single" w:sz="2" w:space="0" w:color="000000"/>
              <w:right w:val="single" w:sz="2" w:space="0" w:color="000000"/>
            </w:tcBorders>
          </w:tcPr>
          <w:p>
            <w:pPr>
              <w:pStyle w:val="TableParagraph"/>
              <w:ind w:right="18"/>
              <w:rPr>
                <w:sz w:val="16"/>
              </w:rPr>
            </w:pPr>
            <w:r>
              <w:rPr>
                <w:sz w:val="16"/>
              </w:rPr>
              <w:t>0,00%</w:t>
            </w:r>
          </w:p>
        </w:tc>
        <w:tc>
          <w:tcPr>
            <w:tcW w:w="1120" w:type="dxa"/>
            <w:tcBorders>
              <w:left w:val="single" w:sz="2" w:space="0" w:color="000000"/>
              <w:right w:val="nil"/>
            </w:tcBorders>
          </w:tcPr>
          <w:p>
            <w:pPr>
              <w:pStyle w:val="TableParagraph"/>
              <w:spacing w:before="0"/>
              <w:jc w:val="left"/>
              <w:rPr>
                <w:rFonts w:ascii="Times New Roman"/>
                <w:sz w:val="18"/>
              </w:rPr>
            </w:pPr>
          </w:p>
        </w:tc>
      </w:tr>
      <w:tr>
        <w:trPr>
          <w:trHeight w:val="479" w:hRule="atLeast"/>
        </w:trPr>
        <w:tc>
          <w:tcPr>
            <w:tcW w:w="734" w:type="dxa"/>
            <w:tcBorders>
              <w:left w:val="nil"/>
              <w:right w:val="single" w:sz="2" w:space="0" w:color="000000"/>
            </w:tcBorders>
          </w:tcPr>
          <w:p>
            <w:pPr>
              <w:pStyle w:val="TableParagraph"/>
              <w:spacing w:before="8"/>
              <w:ind w:right="6"/>
              <w:rPr>
                <w:rFonts w:ascii="Verdana"/>
                <w:sz w:val="18"/>
              </w:rPr>
            </w:pPr>
            <w:r>
              <w:rPr>
                <w:rFonts w:ascii="Verdana"/>
                <w:sz w:val="18"/>
              </w:rPr>
              <w:t>72</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line="237" w:lineRule="auto"/>
              <w:ind w:left="94" w:right="101"/>
              <w:jc w:val="left"/>
              <w:rPr>
                <w:rFonts w:ascii="Verdana"/>
                <w:sz w:val="18"/>
              </w:rPr>
            </w:pPr>
            <w:r>
              <w:rPr>
                <w:rFonts w:ascii="Verdana"/>
                <w:sz w:val="18"/>
              </w:rPr>
              <w:t>Prihodi od prodaje proizvedene dugotrajne imovine</w:t>
            </w:r>
          </w:p>
        </w:tc>
        <w:tc>
          <w:tcPr>
            <w:tcW w:w="1830" w:type="dxa"/>
            <w:tcBorders>
              <w:left w:val="single" w:sz="2" w:space="0" w:color="000000"/>
              <w:right w:val="single" w:sz="2" w:space="0" w:color="000000"/>
            </w:tcBorders>
          </w:tcPr>
          <w:p>
            <w:pPr>
              <w:pStyle w:val="TableParagraph"/>
              <w:spacing w:before="8"/>
              <w:ind w:right="68"/>
              <w:rPr>
                <w:rFonts w:ascii="Verdana"/>
                <w:sz w:val="18"/>
              </w:rPr>
            </w:pPr>
            <w:r>
              <w:rPr>
                <w:rFonts w:ascii="Verdana"/>
                <w:sz w:val="18"/>
              </w:rPr>
              <w:t>13.956,71</w:t>
            </w:r>
          </w:p>
        </w:tc>
        <w:tc>
          <w:tcPr>
            <w:tcW w:w="1830" w:type="dxa"/>
            <w:tcBorders>
              <w:left w:val="single" w:sz="2" w:space="0" w:color="000000"/>
              <w:right w:val="single" w:sz="2" w:space="0" w:color="000000"/>
            </w:tcBorders>
          </w:tcPr>
          <w:p>
            <w:pPr>
              <w:pStyle w:val="TableParagraph"/>
              <w:spacing w:before="8"/>
              <w:ind w:right="57"/>
              <w:rPr>
                <w:rFonts w:ascii="Verdana"/>
                <w:sz w:val="18"/>
              </w:rPr>
            </w:pPr>
            <w:r>
              <w:rPr>
                <w:rFonts w:ascii="Verdana"/>
                <w:sz w:val="18"/>
              </w:rPr>
              <w:t>30.000,00</w:t>
            </w:r>
          </w:p>
        </w:tc>
        <w:tc>
          <w:tcPr>
            <w:tcW w:w="1830" w:type="dxa"/>
            <w:tcBorders>
              <w:left w:val="single" w:sz="2" w:space="0" w:color="000000"/>
              <w:right w:val="single" w:sz="2" w:space="0" w:color="000000"/>
            </w:tcBorders>
          </w:tcPr>
          <w:p>
            <w:pPr>
              <w:pStyle w:val="TableParagraph"/>
              <w:spacing w:before="8"/>
              <w:ind w:right="72"/>
              <w:rPr>
                <w:rFonts w:ascii="Verdana"/>
                <w:sz w:val="18"/>
              </w:rPr>
            </w:pPr>
            <w:r>
              <w:rPr>
                <w:rFonts w:ascii="Verdana"/>
                <w:sz w:val="18"/>
              </w:rPr>
              <w:t>30.000,00</w:t>
            </w:r>
          </w:p>
        </w:tc>
        <w:tc>
          <w:tcPr>
            <w:tcW w:w="1830" w:type="dxa"/>
            <w:tcBorders>
              <w:left w:val="single" w:sz="2" w:space="0" w:color="000000"/>
              <w:right w:val="single" w:sz="2" w:space="0" w:color="000000"/>
            </w:tcBorders>
          </w:tcPr>
          <w:p>
            <w:pPr>
              <w:pStyle w:val="TableParagraph"/>
              <w:spacing w:before="8"/>
              <w:ind w:right="59"/>
              <w:rPr>
                <w:rFonts w:ascii="Verdana"/>
                <w:sz w:val="18"/>
              </w:rPr>
            </w:pPr>
            <w:r>
              <w:rPr>
                <w:rFonts w:ascii="Verdana"/>
                <w:sz w:val="18"/>
              </w:rPr>
              <w:t>27.581,07</w:t>
            </w:r>
          </w:p>
        </w:tc>
        <w:tc>
          <w:tcPr>
            <w:tcW w:w="1115" w:type="dxa"/>
            <w:tcBorders>
              <w:left w:val="single" w:sz="2" w:space="0" w:color="000000"/>
              <w:right w:val="single" w:sz="2" w:space="0" w:color="000000"/>
            </w:tcBorders>
          </w:tcPr>
          <w:p>
            <w:pPr>
              <w:pStyle w:val="TableParagraph"/>
              <w:spacing w:before="8"/>
              <w:ind w:right="24"/>
              <w:rPr>
                <w:rFonts w:ascii="Verdana"/>
                <w:sz w:val="18"/>
              </w:rPr>
            </w:pPr>
            <w:r>
              <w:rPr>
                <w:rFonts w:ascii="Verdana"/>
                <w:sz w:val="18"/>
              </w:rPr>
              <w:t>197,62%</w:t>
            </w:r>
          </w:p>
        </w:tc>
        <w:tc>
          <w:tcPr>
            <w:tcW w:w="1120" w:type="dxa"/>
            <w:tcBorders>
              <w:left w:val="single" w:sz="2" w:space="0" w:color="000000"/>
              <w:right w:val="nil"/>
            </w:tcBorders>
          </w:tcPr>
          <w:p>
            <w:pPr>
              <w:pStyle w:val="TableParagraph"/>
              <w:spacing w:before="8"/>
              <w:ind w:right="25"/>
              <w:rPr>
                <w:rFonts w:ascii="Verdana"/>
                <w:sz w:val="18"/>
              </w:rPr>
            </w:pPr>
            <w:r>
              <w:rPr>
                <w:rFonts w:ascii="Verdana"/>
                <w:sz w:val="18"/>
              </w:rPr>
              <w:t>91,94%</w:t>
            </w:r>
          </w:p>
        </w:tc>
      </w:tr>
      <w:tr>
        <w:trPr>
          <w:trHeight w:val="265" w:hRule="atLeast"/>
        </w:trPr>
        <w:tc>
          <w:tcPr>
            <w:tcW w:w="734" w:type="dxa"/>
            <w:tcBorders>
              <w:left w:val="nil"/>
              <w:right w:val="single" w:sz="2" w:space="0" w:color="000000"/>
            </w:tcBorders>
          </w:tcPr>
          <w:p>
            <w:pPr>
              <w:pStyle w:val="TableParagraph"/>
              <w:spacing w:before="9"/>
              <w:ind w:right="9"/>
              <w:rPr>
                <w:sz w:val="18"/>
              </w:rPr>
            </w:pPr>
            <w:r>
              <w:rPr>
                <w:sz w:val="18"/>
              </w:rPr>
              <w:t>721</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Prihodi od prodaje građevinskih objekata</w:t>
            </w:r>
          </w:p>
        </w:tc>
        <w:tc>
          <w:tcPr>
            <w:tcW w:w="1830" w:type="dxa"/>
            <w:tcBorders>
              <w:left w:val="single" w:sz="2" w:space="0" w:color="000000"/>
              <w:right w:val="single" w:sz="2" w:space="0" w:color="000000"/>
            </w:tcBorders>
          </w:tcPr>
          <w:p>
            <w:pPr>
              <w:pStyle w:val="TableParagraph"/>
              <w:spacing w:before="9"/>
              <w:ind w:right="76"/>
              <w:rPr>
                <w:sz w:val="18"/>
              </w:rPr>
            </w:pPr>
            <w:r>
              <w:rPr>
                <w:sz w:val="18"/>
              </w:rPr>
              <w:t>13.956,71</w:t>
            </w:r>
          </w:p>
        </w:tc>
        <w:tc>
          <w:tcPr>
            <w:tcW w:w="1830" w:type="dxa"/>
            <w:tcBorders>
              <w:left w:val="single" w:sz="2" w:space="0" w:color="000000"/>
              <w:right w:val="single" w:sz="2" w:space="0" w:color="000000"/>
            </w:tcBorders>
          </w:tcPr>
          <w:p>
            <w:pPr>
              <w:pStyle w:val="TableParagraph"/>
              <w:spacing w:before="9"/>
              <w:ind w:right="66"/>
              <w:rPr>
                <w:sz w:val="18"/>
              </w:rPr>
            </w:pPr>
            <w:r>
              <w:rPr>
                <w:sz w:val="18"/>
              </w:rPr>
              <w:t>30.000,00</w:t>
            </w:r>
          </w:p>
        </w:tc>
        <w:tc>
          <w:tcPr>
            <w:tcW w:w="1830" w:type="dxa"/>
            <w:tcBorders>
              <w:left w:val="single" w:sz="2" w:space="0" w:color="000000"/>
              <w:right w:val="single" w:sz="2" w:space="0" w:color="000000"/>
            </w:tcBorders>
          </w:tcPr>
          <w:p>
            <w:pPr>
              <w:pStyle w:val="TableParagraph"/>
              <w:spacing w:before="9"/>
              <w:ind w:right="81"/>
              <w:rPr>
                <w:sz w:val="18"/>
              </w:rPr>
            </w:pPr>
            <w:r>
              <w:rPr>
                <w:sz w:val="18"/>
              </w:rPr>
              <w:t>30.000,00</w:t>
            </w:r>
          </w:p>
        </w:tc>
        <w:tc>
          <w:tcPr>
            <w:tcW w:w="1830" w:type="dxa"/>
            <w:tcBorders>
              <w:left w:val="single" w:sz="2" w:space="0" w:color="000000"/>
              <w:right w:val="single" w:sz="2" w:space="0" w:color="000000"/>
            </w:tcBorders>
          </w:tcPr>
          <w:p>
            <w:pPr>
              <w:pStyle w:val="TableParagraph"/>
              <w:spacing w:before="9"/>
              <w:ind w:right="66"/>
              <w:rPr>
                <w:sz w:val="18"/>
              </w:rPr>
            </w:pPr>
            <w:r>
              <w:rPr>
                <w:sz w:val="18"/>
              </w:rPr>
              <w:t>27.581,07</w:t>
            </w:r>
          </w:p>
        </w:tc>
        <w:tc>
          <w:tcPr>
            <w:tcW w:w="1115" w:type="dxa"/>
            <w:tcBorders>
              <w:left w:val="single" w:sz="2" w:space="0" w:color="000000"/>
              <w:right w:val="single" w:sz="2" w:space="0" w:color="000000"/>
            </w:tcBorders>
          </w:tcPr>
          <w:p>
            <w:pPr>
              <w:pStyle w:val="TableParagraph"/>
              <w:ind w:right="16"/>
              <w:rPr>
                <w:sz w:val="16"/>
              </w:rPr>
            </w:pPr>
            <w:r>
              <w:rPr>
                <w:sz w:val="16"/>
              </w:rPr>
              <w:t>197,62%</w:t>
            </w:r>
          </w:p>
        </w:tc>
        <w:tc>
          <w:tcPr>
            <w:tcW w:w="1120" w:type="dxa"/>
            <w:tcBorders>
              <w:left w:val="single" w:sz="2" w:space="0" w:color="000000"/>
              <w:right w:val="nil"/>
            </w:tcBorders>
          </w:tcPr>
          <w:p>
            <w:pPr>
              <w:pStyle w:val="TableParagraph"/>
              <w:ind w:right="22"/>
              <w:rPr>
                <w:sz w:val="16"/>
              </w:rPr>
            </w:pPr>
            <w:r>
              <w:rPr>
                <w:sz w:val="16"/>
              </w:rPr>
              <w:t>91,94%</w:t>
            </w:r>
          </w:p>
        </w:tc>
      </w:tr>
      <w:tr>
        <w:trPr>
          <w:trHeight w:val="274" w:hRule="atLeast"/>
        </w:trPr>
        <w:tc>
          <w:tcPr>
            <w:tcW w:w="734" w:type="dxa"/>
            <w:tcBorders>
              <w:left w:val="nil"/>
              <w:bottom w:val="single" w:sz="6" w:space="0" w:color="000000"/>
              <w:right w:val="single" w:sz="2" w:space="0" w:color="000000"/>
            </w:tcBorders>
          </w:tcPr>
          <w:p>
            <w:pPr>
              <w:pStyle w:val="TableParagraph"/>
              <w:spacing w:before="9"/>
              <w:ind w:right="12"/>
              <w:rPr>
                <w:sz w:val="18"/>
              </w:rPr>
            </w:pPr>
            <w:r>
              <w:rPr>
                <w:sz w:val="18"/>
              </w:rPr>
              <w:t>7211</w:t>
            </w:r>
          </w:p>
        </w:tc>
        <w:tc>
          <w:tcPr>
            <w:tcW w:w="400" w:type="dxa"/>
            <w:tcBorders>
              <w:left w:val="single" w:sz="2" w:space="0" w:color="000000"/>
              <w:bottom w:val="single" w:sz="6"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bottom w:val="single" w:sz="6" w:space="0" w:color="000000"/>
              <w:right w:val="single" w:sz="2" w:space="0" w:color="000000"/>
            </w:tcBorders>
          </w:tcPr>
          <w:p>
            <w:pPr>
              <w:pStyle w:val="TableParagraph"/>
              <w:spacing w:before="9"/>
              <w:ind w:left="94"/>
              <w:jc w:val="left"/>
              <w:rPr>
                <w:sz w:val="18"/>
              </w:rPr>
            </w:pPr>
            <w:r>
              <w:rPr>
                <w:sz w:val="18"/>
              </w:rPr>
              <w:t>Stambeni objekti</w:t>
            </w:r>
          </w:p>
        </w:tc>
        <w:tc>
          <w:tcPr>
            <w:tcW w:w="1830" w:type="dxa"/>
            <w:tcBorders>
              <w:left w:val="single" w:sz="2" w:space="0" w:color="000000"/>
              <w:bottom w:val="single" w:sz="6" w:space="0" w:color="000000"/>
              <w:right w:val="single" w:sz="2" w:space="0" w:color="000000"/>
            </w:tcBorders>
          </w:tcPr>
          <w:p>
            <w:pPr>
              <w:pStyle w:val="TableParagraph"/>
              <w:spacing w:before="9"/>
              <w:ind w:right="76"/>
              <w:rPr>
                <w:sz w:val="18"/>
              </w:rPr>
            </w:pPr>
            <w:r>
              <w:rPr>
                <w:sz w:val="18"/>
              </w:rPr>
              <w:t>13.956,71</w:t>
            </w:r>
          </w:p>
        </w:tc>
        <w:tc>
          <w:tcPr>
            <w:tcW w:w="1830" w:type="dxa"/>
            <w:tcBorders>
              <w:left w:val="single" w:sz="2" w:space="0" w:color="000000"/>
              <w:bottom w:val="single" w:sz="6"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bottom w:val="single" w:sz="6"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bottom w:val="single" w:sz="6" w:space="0" w:color="000000"/>
              <w:right w:val="single" w:sz="2" w:space="0" w:color="000000"/>
            </w:tcBorders>
          </w:tcPr>
          <w:p>
            <w:pPr>
              <w:pStyle w:val="TableParagraph"/>
              <w:spacing w:before="9"/>
              <w:ind w:right="66"/>
              <w:rPr>
                <w:sz w:val="18"/>
              </w:rPr>
            </w:pPr>
            <w:r>
              <w:rPr>
                <w:sz w:val="18"/>
              </w:rPr>
              <w:t>27.581,07</w:t>
            </w:r>
          </w:p>
        </w:tc>
        <w:tc>
          <w:tcPr>
            <w:tcW w:w="1115" w:type="dxa"/>
            <w:tcBorders>
              <w:left w:val="single" w:sz="2" w:space="0" w:color="000000"/>
              <w:bottom w:val="single" w:sz="6" w:space="0" w:color="000000"/>
              <w:right w:val="single" w:sz="2" w:space="0" w:color="000000"/>
            </w:tcBorders>
          </w:tcPr>
          <w:p>
            <w:pPr>
              <w:pStyle w:val="TableParagraph"/>
              <w:ind w:right="16"/>
              <w:rPr>
                <w:sz w:val="16"/>
              </w:rPr>
            </w:pPr>
            <w:r>
              <w:rPr>
                <w:sz w:val="16"/>
              </w:rPr>
              <w:t>197,62%</w:t>
            </w:r>
          </w:p>
        </w:tc>
        <w:tc>
          <w:tcPr>
            <w:tcW w:w="1120" w:type="dxa"/>
            <w:tcBorders>
              <w:left w:val="single" w:sz="2" w:space="0" w:color="000000"/>
              <w:bottom w:val="single" w:sz="6" w:space="0" w:color="000000"/>
              <w:right w:val="nil"/>
            </w:tcBorders>
          </w:tcPr>
          <w:p>
            <w:pPr>
              <w:pStyle w:val="TableParagraph"/>
              <w:spacing w:before="0"/>
              <w:jc w:val="left"/>
              <w:rPr>
                <w:rFonts w:ascii="Times New Roman"/>
                <w:sz w:val="18"/>
              </w:rPr>
            </w:pPr>
          </w:p>
        </w:tc>
      </w:tr>
    </w:tbl>
    <w:p>
      <w:pPr>
        <w:pStyle w:val="BodyText"/>
        <w:rPr>
          <w:sz w:val="20"/>
        </w:rPr>
      </w:pPr>
    </w:p>
    <w:p>
      <w:pPr>
        <w:pStyle w:val="BodyText"/>
        <w:spacing w:before="8" w:after="1"/>
        <w:rPr>
          <w:sz w:val="17"/>
        </w:rPr>
      </w:pPr>
    </w:p>
    <w:tbl>
      <w:tblPr>
        <w:tblW w:w="0" w:type="auto"/>
        <w:jc w:val="left"/>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08"/>
        <w:gridCol w:w="1831"/>
        <w:gridCol w:w="1831"/>
        <w:gridCol w:w="1831"/>
        <w:gridCol w:w="1831"/>
        <w:gridCol w:w="1116"/>
        <w:gridCol w:w="1121"/>
      </w:tblGrid>
      <w:tr>
        <w:trPr>
          <w:trHeight w:val="431" w:hRule="atLeast"/>
        </w:trPr>
        <w:tc>
          <w:tcPr>
            <w:tcW w:w="5808" w:type="dxa"/>
            <w:tcBorders>
              <w:left w:val="nil"/>
              <w:right w:val="single" w:sz="2" w:space="0" w:color="000000"/>
            </w:tcBorders>
            <w:shd w:val="clear" w:color="auto" w:fill="C0C0C0"/>
          </w:tcPr>
          <w:p>
            <w:pPr>
              <w:pStyle w:val="TableParagraph"/>
              <w:spacing w:before="69"/>
              <w:ind w:left="1291"/>
              <w:jc w:val="left"/>
              <w:rPr>
                <w:rFonts w:ascii="Arial"/>
                <w:sz w:val="24"/>
              </w:rPr>
            </w:pPr>
            <w:r>
              <w:rPr>
                <w:rFonts w:ascii="Arial"/>
                <w:sz w:val="24"/>
              </w:rPr>
              <w:t>UKUPNO</w:t>
            </w:r>
          </w:p>
        </w:tc>
        <w:tc>
          <w:tcPr>
            <w:tcW w:w="1831" w:type="dxa"/>
            <w:tcBorders>
              <w:left w:val="single" w:sz="2" w:space="0" w:color="000000"/>
              <w:right w:val="single" w:sz="2" w:space="0" w:color="000000"/>
            </w:tcBorders>
            <w:shd w:val="clear" w:color="auto" w:fill="C0C0C0"/>
          </w:tcPr>
          <w:p>
            <w:pPr>
              <w:pStyle w:val="TableParagraph"/>
              <w:spacing w:before="74"/>
              <w:ind w:left="496"/>
              <w:jc w:val="left"/>
              <w:rPr>
                <w:rFonts w:ascii="Arial"/>
                <w:sz w:val="24"/>
              </w:rPr>
            </w:pPr>
            <w:r>
              <w:rPr>
                <w:rFonts w:ascii="Arial"/>
                <w:w w:val="90"/>
                <w:sz w:val="24"/>
              </w:rPr>
              <w:t>6.297.502,22</w:t>
            </w:r>
          </w:p>
        </w:tc>
        <w:tc>
          <w:tcPr>
            <w:tcW w:w="1831" w:type="dxa"/>
            <w:tcBorders>
              <w:left w:val="single" w:sz="2" w:space="0" w:color="000000"/>
              <w:right w:val="single" w:sz="2" w:space="0" w:color="000000"/>
            </w:tcBorders>
            <w:shd w:val="clear" w:color="auto" w:fill="C0C0C0"/>
          </w:tcPr>
          <w:p>
            <w:pPr>
              <w:pStyle w:val="TableParagraph"/>
              <w:spacing w:before="74"/>
              <w:ind w:left="386"/>
              <w:jc w:val="left"/>
              <w:rPr>
                <w:rFonts w:ascii="Arial"/>
                <w:sz w:val="24"/>
              </w:rPr>
            </w:pPr>
            <w:r>
              <w:rPr>
                <w:rFonts w:ascii="Arial"/>
                <w:w w:val="90"/>
                <w:sz w:val="24"/>
              </w:rPr>
              <w:t>16.201.000,00</w:t>
            </w:r>
          </w:p>
        </w:tc>
        <w:tc>
          <w:tcPr>
            <w:tcW w:w="1831" w:type="dxa"/>
            <w:tcBorders>
              <w:left w:val="single" w:sz="2" w:space="0" w:color="000000"/>
              <w:right w:val="single" w:sz="2" w:space="0" w:color="000000"/>
            </w:tcBorders>
            <w:shd w:val="clear" w:color="auto" w:fill="C0C0C0"/>
          </w:tcPr>
          <w:p>
            <w:pPr>
              <w:pStyle w:val="TableParagraph"/>
              <w:spacing w:before="69"/>
              <w:ind w:left="372"/>
              <w:jc w:val="left"/>
              <w:rPr>
                <w:rFonts w:ascii="Arial"/>
                <w:sz w:val="24"/>
              </w:rPr>
            </w:pPr>
            <w:r>
              <w:rPr>
                <w:rFonts w:ascii="Arial"/>
                <w:w w:val="90"/>
                <w:sz w:val="24"/>
              </w:rPr>
              <w:t>16.201.000,00</w:t>
            </w:r>
          </w:p>
        </w:tc>
        <w:tc>
          <w:tcPr>
            <w:tcW w:w="1831" w:type="dxa"/>
            <w:tcBorders>
              <w:left w:val="single" w:sz="2" w:space="0" w:color="000000"/>
              <w:right w:val="single" w:sz="2" w:space="0" w:color="000000"/>
            </w:tcBorders>
            <w:shd w:val="clear" w:color="auto" w:fill="C0C0C0"/>
          </w:tcPr>
          <w:p>
            <w:pPr>
              <w:pStyle w:val="TableParagraph"/>
              <w:spacing w:before="74"/>
              <w:ind w:left="504"/>
              <w:jc w:val="left"/>
              <w:rPr>
                <w:rFonts w:ascii="Arial"/>
                <w:sz w:val="24"/>
              </w:rPr>
            </w:pPr>
            <w:r>
              <w:rPr>
                <w:rFonts w:ascii="Arial"/>
                <w:w w:val="90"/>
                <w:sz w:val="24"/>
              </w:rPr>
              <w:t>7.461.994,93</w:t>
            </w:r>
          </w:p>
        </w:tc>
        <w:tc>
          <w:tcPr>
            <w:tcW w:w="1116" w:type="dxa"/>
            <w:tcBorders>
              <w:left w:val="single" w:sz="2" w:space="0" w:color="000000"/>
              <w:right w:val="single" w:sz="2" w:space="0" w:color="000000"/>
            </w:tcBorders>
            <w:shd w:val="clear" w:color="auto" w:fill="C0C0C0"/>
          </w:tcPr>
          <w:p>
            <w:pPr>
              <w:pStyle w:val="TableParagraph"/>
              <w:spacing w:before="79"/>
              <w:ind w:left="233" w:right="-29"/>
              <w:jc w:val="left"/>
              <w:rPr>
                <w:rFonts w:ascii="Arial"/>
                <w:sz w:val="24"/>
              </w:rPr>
            </w:pPr>
            <w:r>
              <w:rPr>
                <w:rFonts w:ascii="Arial"/>
                <w:w w:val="95"/>
                <w:sz w:val="24"/>
              </w:rPr>
              <w:t>118,49%</w:t>
            </w:r>
          </w:p>
        </w:tc>
        <w:tc>
          <w:tcPr>
            <w:tcW w:w="1121" w:type="dxa"/>
            <w:tcBorders>
              <w:left w:val="single" w:sz="2" w:space="0" w:color="000000"/>
              <w:right w:val="nil"/>
            </w:tcBorders>
            <w:shd w:val="clear" w:color="auto" w:fill="C0C0C0"/>
          </w:tcPr>
          <w:p>
            <w:pPr>
              <w:pStyle w:val="TableParagraph"/>
              <w:spacing w:before="79"/>
              <w:ind w:left="332"/>
              <w:jc w:val="left"/>
              <w:rPr>
                <w:rFonts w:ascii="Arial"/>
                <w:sz w:val="24"/>
              </w:rPr>
            </w:pPr>
            <w:r>
              <w:rPr>
                <w:rFonts w:ascii="Arial"/>
                <w:w w:val="95"/>
                <w:sz w:val="24"/>
              </w:rPr>
              <w:t>46,06%</w:t>
            </w:r>
          </w:p>
        </w:tc>
      </w:tr>
    </w:tbl>
    <w:p>
      <w:pPr>
        <w:spacing w:after="0"/>
        <w:jc w:val="left"/>
        <w:rPr>
          <w:rFonts w:ascii="Arial"/>
          <w:sz w:val="24"/>
        </w:rPr>
        <w:sectPr>
          <w:pgSz w:w="16840" w:h="11900" w:orient="landscape"/>
          <w:pgMar w:header="0" w:footer="718" w:top="1100" w:bottom="90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399"/>
        <w:gridCol w:w="4672"/>
        <w:gridCol w:w="1833"/>
        <w:gridCol w:w="1831"/>
        <w:gridCol w:w="1831"/>
        <w:gridCol w:w="1831"/>
        <w:gridCol w:w="1116"/>
        <w:gridCol w:w="1120"/>
      </w:tblGrid>
      <w:tr>
        <w:trPr>
          <w:trHeight w:val="828" w:hRule="atLeast"/>
        </w:trPr>
        <w:tc>
          <w:tcPr>
            <w:tcW w:w="15367" w:type="dxa"/>
            <w:gridSpan w:val="9"/>
            <w:tcBorders>
              <w:left w:val="nil"/>
              <w:bottom w:val="single" w:sz="8" w:space="0" w:color="000000"/>
              <w:right w:val="nil"/>
            </w:tcBorders>
            <w:shd w:val="clear" w:color="auto" w:fill="C0C0C0"/>
          </w:tcPr>
          <w:p>
            <w:pPr>
              <w:pStyle w:val="TableParagraph"/>
              <w:spacing w:before="56"/>
              <w:ind w:left="1640"/>
              <w:jc w:val="left"/>
              <w:rPr>
                <w:rFonts w:ascii="Century" w:hAnsi="Century"/>
                <w:sz w:val="28"/>
              </w:rPr>
            </w:pPr>
            <w:r>
              <w:rPr>
                <w:rFonts w:ascii="Century" w:hAnsi="Century"/>
                <w:sz w:val="28"/>
              </w:rPr>
              <w:t>POLUGODIŠNJI IZVJEŠTAJ O IZVRŠENJU PRORAČUNA GRADA OZLJA ZA 2014. GODINU</w:t>
            </w:r>
          </w:p>
          <w:p>
            <w:pPr>
              <w:pStyle w:val="TableParagraph"/>
              <w:spacing w:before="67"/>
              <w:ind w:left="5442"/>
              <w:jc w:val="left"/>
              <w:rPr>
                <w:rFonts w:ascii="Times New Roman" w:hAnsi="Times New Roman"/>
                <w:sz w:val="22"/>
              </w:rPr>
            </w:pPr>
            <w:r>
              <w:rPr>
                <w:rFonts w:ascii="Times New Roman" w:hAnsi="Times New Roman"/>
                <w:sz w:val="22"/>
              </w:rPr>
              <w:t>A. RAČUN PRIHODA I RASHODA (RASHODI)</w:t>
            </w:r>
          </w:p>
        </w:tc>
      </w:tr>
      <w:tr>
        <w:trPr>
          <w:trHeight w:val="846" w:hRule="atLeast"/>
        </w:trPr>
        <w:tc>
          <w:tcPr>
            <w:tcW w:w="1133"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13"/>
              <w:ind w:left="231" w:right="229" w:hanging="49"/>
              <w:jc w:val="center"/>
              <w:rPr>
                <w:sz w:val="20"/>
              </w:rPr>
            </w:pPr>
            <w:r>
              <w:rPr>
                <w:sz w:val="20"/>
              </w:rPr>
              <w:t>Račun/ Pozicija</w:t>
            </w:r>
          </w:p>
          <w:p>
            <w:pPr>
              <w:pStyle w:val="TableParagraph"/>
              <w:spacing w:before="89"/>
              <w:ind w:left="11"/>
              <w:jc w:val="center"/>
              <w:rPr>
                <w:sz w:val="18"/>
              </w:rPr>
            </w:pPr>
            <w:r>
              <w:rPr>
                <w:w w:val="100"/>
                <w:sz w:val="18"/>
              </w:rPr>
              <w:t>1</w:t>
            </w:r>
          </w:p>
        </w:tc>
        <w:tc>
          <w:tcPr>
            <w:tcW w:w="467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2142" w:right="2096"/>
              <w:jc w:val="center"/>
              <w:rPr>
                <w:sz w:val="20"/>
              </w:rPr>
            </w:pPr>
            <w:r>
              <w:rPr>
                <w:sz w:val="20"/>
              </w:rPr>
              <w:t>Opis</w:t>
            </w:r>
          </w:p>
          <w:p>
            <w:pPr>
              <w:pStyle w:val="TableParagraph"/>
              <w:spacing w:before="2"/>
              <w:jc w:val="left"/>
              <w:rPr>
                <w:rFonts w:ascii="Times New Roman"/>
                <w:sz w:val="29"/>
              </w:rPr>
            </w:pPr>
          </w:p>
          <w:p>
            <w:pPr>
              <w:pStyle w:val="TableParagraph"/>
              <w:spacing w:before="0"/>
              <w:ind w:left="41"/>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8"/>
              <w:ind w:left="146" w:right="132"/>
              <w:jc w:val="center"/>
              <w:rPr>
                <w:sz w:val="20"/>
              </w:rPr>
            </w:pPr>
            <w:r>
              <w:rPr>
                <w:sz w:val="20"/>
              </w:rPr>
              <w:t>Izvršenje 01.01.-</w:t>
            </w:r>
          </w:p>
          <w:p>
            <w:pPr>
              <w:pStyle w:val="TableParagraph"/>
              <w:spacing w:line="241" w:lineRule="exact" w:before="0"/>
              <w:ind w:left="95" w:right="138"/>
              <w:jc w:val="center"/>
              <w:rPr>
                <w:sz w:val="20"/>
              </w:rPr>
            </w:pPr>
            <w:r>
              <w:rPr>
                <w:sz w:val="20"/>
              </w:rPr>
              <w:t>30.06.2013.</w:t>
            </w:r>
          </w:p>
          <w:p>
            <w:pPr>
              <w:pStyle w:val="TableParagraph"/>
              <w:spacing w:before="91"/>
              <w:ind w:left="16"/>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0" w:right="131"/>
              <w:jc w:val="center"/>
              <w:rPr>
                <w:sz w:val="20"/>
              </w:rPr>
            </w:pPr>
            <w:r>
              <w:rPr>
                <w:sz w:val="20"/>
              </w:rPr>
              <w:t>Izvorni plan za 2014. godinu</w:t>
            </w:r>
          </w:p>
          <w:p>
            <w:pPr>
              <w:pStyle w:val="TableParagraph"/>
              <w:spacing w:before="89"/>
              <w:ind w:left="33"/>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70" w:right="131"/>
              <w:jc w:val="center"/>
              <w:rPr>
                <w:sz w:val="20"/>
              </w:rPr>
            </w:pPr>
            <w:r>
              <w:rPr>
                <w:sz w:val="20"/>
              </w:rPr>
              <w:t>Tekući plan za 2014. godinu</w:t>
            </w:r>
          </w:p>
          <w:p>
            <w:pPr>
              <w:pStyle w:val="TableParagraph"/>
              <w:spacing w:before="94"/>
              <w:jc w:val="center"/>
              <w:rPr>
                <w:sz w:val="18"/>
              </w:rPr>
            </w:pPr>
            <w:r>
              <w:rPr>
                <w:w w:val="100"/>
                <w:sz w:val="18"/>
              </w:rPr>
              <w:t>5</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2"/>
              <w:jc w:val="center"/>
              <w:rPr>
                <w:sz w:val="20"/>
              </w:rPr>
            </w:pPr>
            <w:r>
              <w:rPr>
                <w:sz w:val="20"/>
              </w:rPr>
              <w:t>Izvršenje 01.01.-</w:t>
            </w:r>
          </w:p>
          <w:p>
            <w:pPr>
              <w:pStyle w:val="TableParagraph"/>
              <w:spacing w:line="241" w:lineRule="exact" w:before="0"/>
              <w:ind w:left="102" w:right="131"/>
              <w:jc w:val="center"/>
              <w:rPr>
                <w:sz w:val="20"/>
              </w:rPr>
            </w:pPr>
            <w:r>
              <w:rPr>
                <w:sz w:val="20"/>
              </w:rPr>
              <w:t>30.06.2014.</w:t>
            </w:r>
          </w:p>
          <w:p>
            <w:pPr>
              <w:pStyle w:val="TableParagraph"/>
              <w:spacing w:before="90"/>
              <w:ind w:left="29"/>
              <w:jc w:val="center"/>
              <w:rPr>
                <w:sz w:val="18"/>
              </w:rPr>
            </w:pPr>
            <w:r>
              <w:rPr>
                <w:w w:val="100"/>
                <w:sz w:val="18"/>
              </w:rPr>
              <w:t>6</w:t>
            </w:r>
          </w:p>
        </w:tc>
        <w:tc>
          <w:tcPr>
            <w:tcW w:w="1116"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268" w:right="250"/>
              <w:jc w:val="center"/>
              <w:rPr>
                <w:sz w:val="20"/>
              </w:rPr>
            </w:pPr>
            <w:r>
              <w:rPr>
                <w:w w:val="95"/>
                <w:sz w:val="20"/>
              </w:rPr>
              <w:t>Indeks </w:t>
            </w:r>
            <w:r>
              <w:rPr>
                <w:sz w:val="20"/>
              </w:rPr>
              <w:t>6/3</w:t>
            </w:r>
          </w:p>
          <w:p>
            <w:pPr>
              <w:pStyle w:val="TableParagraph"/>
              <w:spacing w:before="89"/>
              <w:ind w:left="20"/>
              <w:jc w:val="center"/>
              <w:rPr>
                <w:sz w:val="18"/>
              </w:rPr>
            </w:pPr>
            <w:r>
              <w:rPr>
                <w:w w:val="100"/>
                <w:sz w:val="18"/>
              </w:rPr>
              <w:t>7</w:t>
            </w:r>
          </w:p>
        </w:tc>
        <w:tc>
          <w:tcPr>
            <w:tcW w:w="1120"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9" w:right="267"/>
              <w:jc w:val="center"/>
              <w:rPr>
                <w:sz w:val="20"/>
              </w:rPr>
            </w:pPr>
            <w:r>
              <w:rPr>
                <w:w w:val="95"/>
                <w:sz w:val="20"/>
              </w:rPr>
              <w:t>Indeks </w:t>
            </w:r>
            <w:r>
              <w:rPr>
                <w:sz w:val="20"/>
              </w:rPr>
              <w:t>6/5</w:t>
            </w:r>
          </w:p>
          <w:p>
            <w:pPr>
              <w:pStyle w:val="TableParagraph"/>
              <w:spacing w:before="89"/>
              <w:ind w:right="3"/>
              <w:jc w:val="center"/>
              <w:rPr>
                <w:sz w:val="18"/>
              </w:rPr>
            </w:pPr>
            <w:r>
              <w:rPr>
                <w:w w:val="100"/>
                <w:sz w:val="18"/>
              </w:rPr>
              <w:t>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line="238" w:lineRule="exact" w:before="7"/>
              <w:ind w:right="10"/>
              <w:rPr>
                <w:rFonts w:ascii="Verdana"/>
                <w:sz w:val="20"/>
              </w:rPr>
            </w:pPr>
            <w:r>
              <w:rPr>
                <w:rFonts w:ascii="Verdana"/>
                <w:w w:val="100"/>
                <w:sz w:val="20"/>
              </w:rPr>
              <w:t>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left="92"/>
              <w:jc w:val="left"/>
              <w:rPr>
                <w:rFonts w:ascii="Verdana"/>
                <w:sz w:val="20"/>
              </w:rPr>
            </w:pPr>
            <w:r>
              <w:rPr>
                <w:rFonts w:ascii="Verdana"/>
                <w:sz w:val="20"/>
              </w:rPr>
              <w:t>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right="81"/>
              <w:rPr>
                <w:rFonts w:ascii="Verdana"/>
                <w:sz w:val="20"/>
              </w:rPr>
            </w:pPr>
            <w:r>
              <w:rPr>
                <w:rFonts w:ascii="Verdana"/>
                <w:sz w:val="20"/>
              </w:rPr>
              <w:t>5.624.343,05</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right="71"/>
              <w:rPr>
                <w:rFonts w:ascii="Verdana"/>
                <w:sz w:val="20"/>
              </w:rPr>
            </w:pPr>
            <w:r>
              <w:rPr>
                <w:rFonts w:ascii="Verdana"/>
                <w:sz w:val="20"/>
              </w:rPr>
              <w:t>12.503.660,87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right="87"/>
              <w:rPr>
                <w:rFonts w:ascii="Verdana"/>
                <w:sz w:val="20"/>
              </w:rPr>
            </w:pPr>
            <w:r>
              <w:rPr>
                <w:rFonts w:ascii="Verdana"/>
                <w:sz w:val="20"/>
              </w:rPr>
              <w:t>12.503.660,87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right="72"/>
              <w:rPr>
                <w:rFonts w:ascii="Verdana"/>
                <w:sz w:val="20"/>
              </w:rPr>
            </w:pPr>
            <w:r>
              <w:rPr>
                <w:rFonts w:ascii="Verdana"/>
                <w:sz w:val="20"/>
              </w:rPr>
              <w:t>5.373.775,76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line="238" w:lineRule="exact" w:before="7"/>
              <w:ind w:right="34"/>
              <w:rPr>
                <w:rFonts w:ascii="Verdana"/>
                <w:sz w:val="20"/>
              </w:rPr>
            </w:pPr>
            <w:r>
              <w:rPr>
                <w:rFonts w:ascii="Verdana"/>
                <w:sz w:val="20"/>
              </w:rPr>
              <w:t>95,54%</w:t>
            </w:r>
          </w:p>
        </w:tc>
        <w:tc>
          <w:tcPr>
            <w:tcW w:w="1120" w:type="dxa"/>
            <w:tcBorders>
              <w:top w:val="single" w:sz="8" w:space="0" w:color="000000"/>
              <w:left w:val="single" w:sz="2" w:space="0" w:color="000000"/>
              <w:bottom w:val="single" w:sz="8" w:space="0" w:color="000000"/>
              <w:right w:val="nil"/>
            </w:tcBorders>
          </w:tcPr>
          <w:p>
            <w:pPr>
              <w:pStyle w:val="TableParagraph"/>
              <w:spacing w:line="238" w:lineRule="exact" w:before="7"/>
              <w:ind w:right="38"/>
              <w:rPr>
                <w:rFonts w:ascii="Verdana"/>
                <w:sz w:val="20"/>
              </w:rPr>
            </w:pPr>
            <w:r>
              <w:rPr>
                <w:rFonts w:ascii="Verdana"/>
                <w:sz w:val="20"/>
              </w:rPr>
              <w:t>42,98%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10"/>
              <w:rPr>
                <w:rFonts w:ascii="Verdana"/>
                <w:sz w:val="18"/>
              </w:rPr>
            </w:pPr>
            <w:r>
              <w:rPr>
                <w:rFonts w:ascii="Verdana"/>
                <w:sz w:val="18"/>
              </w:rPr>
              <w:t>31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8"/>
              <w:ind w:left="92"/>
              <w:jc w:val="left"/>
              <w:rPr>
                <w:rFonts w:ascii="Verdana"/>
                <w:sz w:val="18"/>
              </w:rPr>
            </w:pPr>
            <w:r>
              <w:rPr>
                <w:rFonts w:ascii="Verdana"/>
                <w:sz w:val="18"/>
              </w:rPr>
              <w:t>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8"/>
              <w:rPr>
                <w:rFonts w:ascii="Verdana"/>
                <w:sz w:val="18"/>
              </w:rPr>
            </w:pPr>
            <w:r>
              <w:rPr>
                <w:rFonts w:ascii="Verdana"/>
                <w:sz w:val="18"/>
              </w:rPr>
              <w:t>2.052.941,70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8"/>
              <w:rPr>
                <w:rFonts w:ascii="Verdana"/>
                <w:sz w:val="18"/>
              </w:rPr>
            </w:pPr>
            <w:r>
              <w:rPr>
                <w:rFonts w:ascii="Verdana"/>
                <w:sz w:val="18"/>
              </w:rPr>
              <w:t>4.517.407,91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2"/>
              <w:rPr>
                <w:rFonts w:ascii="Verdana"/>
                <w:sz w:val="18"/>
              </w:rPr>
            </w:pPr>
            <w:r>
              <w:rPr>
                <w:rFonts w:ascii="Verdana"/>
                <w:sz w:val="18"/>
              </w:rPr>
              <w:t>4.462.407,91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9"/>
              <w:rPr>
                <w:rFonts w:ascii="Verdana"/>
                <w:sz w:val="18"/>
              </w:rPr>
            </w:pPr>
            <w:r>
              <w:rPr>
                <w:rFonts w:ascii="Verdana"/>
                <w:sz w:val="18"/>
              </w:rPr>
              <w:t>1.940.792,86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8"/>
              <w:ind w:right="30"/>
              <w:rPr>
                <w:rFonts w:ascii="Verdana"/>
                <w:sz w:val="18"/>
              </w:rPr>
            </w:pPr>
            <w:r>
              <w:rPr>
                <w:rFonts w:ascii="Verdana"/>
                <w:sz w:val="18"/>
              </w:rPr>
              <w:t>94,54%</w:t>
            </w:r>
          </w:p>
        </w:tc>
        <w:tc>
          <w:tcPr>
            <w:tcW w:w="1120" w:type="dxa"/>
            <w:tcBorders>
              <w:top w:val="single" w:sz="8" w:space="0" w:color="000000"/>
              <w:left w:val="single" w:sz="2" w:space="0" w:color="000000"/>
              <w:bottom w:val="single" w:sz="8" w:space="0" w:color="000000"/>
              <w:right w:val="nil"/>
            </w:tcBorders>
          </w:tcPr>
          <w:p>
            <w:pPr>
              <w:pStyle w:val="TableParagraph"/>
              <w:spacing w:before="8"/>
              <w:ind w:right="34"/>
              <w:rPr>
                <w:rFonts w:ascii="Verdana"/>
                <w:sz w:val="18"/>
              </w:rPr>
            </w:pPr>
            <w:r>
              <w:rPr>
                <w:rFonts w:ascii="Verdana"/>
                <w:sz w:val="18"/>
              </w:rPr>
              <w:t>43,49%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311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7"/>
              <w:rPr>
                <w:sz w:val="18"/>
              </w:rPr>
            </w:pPr>
            <w:r>
              <w:rPr>
                <w:sz w:val="18"/>
              </w:rPr>
              <w:t>1.752.599,25</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3.796.707,91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92"/>
              <w:rPr>
                <w:sz w:val="18"/>
              </w:rPr>
            </w:pPr>
            <w:r>
              <w:rPr>
                <w:sz w:val="18"/>
              </w:rPr>
              <w:t>3.741.707,91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1"/>
              <w:rPr>
                <w:sz w:val="18"/>
              </w:rPr>
            </w:pPr>
            <w:r>
              <w:rPr>
                <w:sz w:val="18"/>
              </w:rPr>
              <w:t>1.637.637,24</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93,44%</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43,77%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3111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Plaće za redovan rad</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7"/>
              <w:rPr>
                <w:sz w:val="18"/>
              </w:rPr>
            </w:pPr>
            <w:r>
              <w:rPr>
                <w:sz w:val="18"/>
              </w:rPr>
              <w:t>1.752.599,25</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9"/>
              <w:rPr>
                <w:sz w:val="18"/>
              </w:rPr>
            </w:pPr>
            <w:r>
              <w:rPr>
                <w:sz w:val="18"/>
              </w:rPr>
              <w:t>1.637.637,24</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93,44%</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312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34.501,95</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150.700,00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90"/>
              <w:rPr>
                <w:sz w:val="18"/>
              </w:rPr>
            </w:pPr>
            <w:r>
              <w:rPr>
                <w:sz w:val="18"/>
              </w:rPr>
              <w:t>150.700,00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6"/>
              <w:rPr>
                <w:sz w:val="18"/>
              </w:rPr>
            </w:pPr>
            <w:r>
              <w:rPr>
                <w:sz w:val="18"/>
              </w:rPr>
              <w:t>38.160,38</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110,60%</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25,32%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3121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34.501,95</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38.160,38</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110,60%</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313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Doprinosi na 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265.840,50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570.000,00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570.000,00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8"/>
              <w:rPr>
                <w:sz w:val="18"/>
              </w:rPr>
            </w:pPr>
            <w:r>
              <w:rPr>
                <w:sz w:val="18"/>
              </w:rPr>
              <w:t>264.995,24</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99,68%</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46,49%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3132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Doprinosi za zdravstveno osiguranje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236.108,44</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237.155,48</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100,44%</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3133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Doprinosi za zapošljavanje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29.732,06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27.839,76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93,64%</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10"/>
              <w:rPr>
                <w:rFonts w:ascii="Verdana"/>
                <w:sz w:val="18"/>
              </w:rPr>
            </w:pPr>
            <w:r>
              <w:rPr>
                <w:rFonts w:ascii="Verdana"/>
                <w:sz w:val="18"/>
              </w:rPr>
              <w:t>32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8"/>
              <w:ind w:left="92"/>
              <w:jc w:val="left"/>
              <w:rPr>
                <w:rFonts w:ascii="Verdana"/>
                <w:sz w:val="18"/>
              </w:rPr>
            </w:pPr>
            <w:r>
              <w:rPr>
                <w:rFonts w:ascii="Verdana"/>
                <w:w w:val="105"/>
                <w:sz w:val="18"/>
              </w:rPr>
              <w:t>Materijalni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8"/>
              <w:rPr>
                <w:rFonts w:ascii="Verdana"/>
                <w:sz w:val="18"/>
              </w:rPr>
            </w:pPr>
            <w:r>
              <w:rPr>
                <w:rFonts w:ascii="Verdana"/>
                <w:sz w:val="18"/>
              </w:rPr>
              <w:t>2.903.098,73</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8"/>
              <w:rPr>
                <w:rFonts w:ascii="Verdana"/>
                <w:sz w:val="18"/>
              </w:rPr>
            </w:pPr>
            <w:r>
              <w:rPr>
                <w:rFonts w:ascii="Verdana"/>
                <w:sz w:val="18"/>
              </w:rPr>
              <w:t>5.871.252,96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2"/>
              <w:rPr>
                <w:rFonts w:ascii="Verdana"/>
                <w:sz w:val="18"/>
              </w:rPr>
            </w:pPr>
            <w:r>
              <w:rPr>
                <w:rFonts w:ascii="Verdana"/>
                <w:sz w:val="18"/>
              </w:rPr>
              <w:t>5.926.252,96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9"/>
              <w:rPr>
                <w:rFonts w:ascii="Verdana"/>
                <w:sz w:val="18"/>
              </w:rPr>
            </w:pPr>
            <w:r>
              <w:rPr>
                <w:rFonts w:ascii="Verdana"/>
                <w:sz w:val="18"/>
              </w:rPr>
              <w:t>2.504.140,71</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8"/>
              <w:ind w:right="30"/>
              <w:rPr>
                <w:rFonts w:ascii="Verdana"/>
                <w:sz w:val="18"/>
              </w:rPr>
            </w:pPr>
            <w:r>
              <w:rPr>
                <w:rFonts w:ascii="Verdana"/>
                <w:sz w:val="18"/>
              </w:rPr>
              <w:t>86,26%</w:t>
            </w:r>
          </w:p>
        </w:tc>
        <w:tc>
          <w:tcPr>
            <w:tcW w:w="1120" w:type="dxa"/>
            <w:tcBorders>
              <w:top w:val="single" w:sz="8" w:space="0" w:color="000000"/>
              <w:left w:val="single" w:sz="2" w:space="0" w:color="000000"/>
              <w:bottom w:val="single" w:sz="8" w:space="0" w:color="000000"/>
              <w:right w:val="nil"/>
            </w:tcBorders>
          </w:tcPr>
          <w:p>
            <w:pPr>
              <w:pStyle w:val="TableParagraph"/>
              <w:spacing w:before="8"/>
              <w:ind w:right="34"/>
              <w:rPr>
                <w:rFonts w:ascii="Verdana"/>
                <w:sz w:val="18"/>
              </w:rPr>
            </w:pPr>
            <w:r>
              <w:rPr>
                <w:rFonts w:ascii="Verdana"/>
                <w:sz w:val="18"/>
              </w:rPr>
              <w:t>42,26%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321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Naknade troškova zaposlenima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143.239,50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351.000,00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351.000,00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8"/>
              <w:rPr>
                <w:sz w:val="18"/>
              </w:rPr>
            </w:pPr>
            <w:r>
              <w:rPr>
                <w:sz w:val="18"/>
              </w:rPr>
              <w:t>141.433,50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98,74%</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40,29%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3211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Službena putovanja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13.501,00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19.104,00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141,50%</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3212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Naknade za prijevoz, za rad na terenu i odvojeni život</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125.298,50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119.729,50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95,56%</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3213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Stručno usavršavanje zaposlenika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4.440,00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2.600,00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58,56%</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322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800.529,03</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1.739.900,00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92"/>
              <w:rPr>
                <w:sz w:val="18"/>
              </w:rPr>
            </w:pPr>
            <w:r>
              <w:rPr>
                <w:sz w:val="18"/>
              </w:rPr>
              <w:t>1.739.900,00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8"/>
              <w:rPr>
                <w:sz w:val="18"/>
              </w:rPr>
            </w:pPr>
            <w:r>
              <w:rPr>
                <w:sz w:val="18"/>
              </w:rPr>
              <w:t>850.628,10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106,26%</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48,89%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3221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Uredski materijal i ostali materijalni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71.388,90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77.738,32</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108,89%</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3222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Materijal i sirovine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139.968,11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181.124,89</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129,40%</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3223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Energija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532.828,33</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526.442,90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98,80%</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3224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Mat. i dijelovi za tekuće i investicijsko održavanje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46.187,57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47.739,67</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103,36%</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3225</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Sitni inventar i auto gume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8.371,47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10.072,62</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120,32%</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3227</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Službena, radna i zaštitna odjeća i obuća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1.784,65</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7.509,70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420,79%</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323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7"/>
              <w:rPr>
                <w:sz w:val="18"/>
              </w:rPr>
            </w:pPr>
            <w:r>
              <w:rPr>
                <w:sz w:val="18"/>
              </w:rPr>
              <w:t>1.728.986,11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3.315.400,00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92"/>
              <w:rPr>
                <w:sz w:val="18"/>
              </w:rPr>
            </w:pPr>
            <w:r>
              <w:rPr>
                <w:sz w:val="18"/>
              </w:rPr>
              <w:t>3.315.400,00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1"/>
              <w:rPr>
                <w:sz w:val="18"/>
              </w:rPr>
            </w:pPr>
            <w:r>
              <w:rPr>
                <w:sz w:val="18"/>
              </w:rPr>
              <w:t>1.204.457,04</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69,66%</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36,33%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3231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Usluge telefona, pošte i prijevoza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42.740,32</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41.108,03</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96,18%</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3232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7"/>
              <w:rPr>
                <w:sz w:val="18"/>
              </w:rPr>
            </w:pPr>
            <w:r>
              <w:rPr>
                <w:sz w:val="18"/>
              </w:rPr>
              <w:t>1.225.997,37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604.431,47</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49,30%</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3233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Usluge promidžbe i informiranja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21.829,33</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9.393,90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43,03%</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3234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113.368,75</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120.266,66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106,08%</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82" w:hRule="atLeast"/>
        </w:trPr>
        <w:tc>
          <w:tcPr>
            <w:tcW w:w="734" w:type="dxa"/>
            <w:tcBorders>
              <w:top w:val="single" w:sz="8" w:space="0" w:color="000000"/>
              <w:left w:val="nil"/>
              <w:bottom w:val="nil"/>
              <w:right w:val="single" w:sz="2" w:space="0" w:color="000000"/>
            </w:tcBorders>
          </w:tcPr>
          <w:p>
            <w:pPr>
              <w:pStyle w:val="TableParagraph"/>
              <w:spacing w:before="9"/>
              <w:ind w:right="15"/>
              <w:rPr>
                <w:sz w:val="18"/>
              </w:rPr>
            </w:pPr>
            <w:r>
              <w:rPr>
                <w:sz w:val="18"/>
              </w:rPr>
              <w:t>3235</w:t>
            </w:r>
          </w:p>
        </w:tc>
        <w:tc>
          <w:tcPr>
            <w:tcW w:w="399"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nil"/>
              <w:right w:val="single" w:sz="2" w:space="0" w:color="000000"/>
            </w:tcBorders>
          </w:tcPr>
          <w:p>
            <w:pPr>
              <w:pStyle w:val="TableParagraph"/>
              <w:spacing w:before="9"/>
              <w:ind w:left="92"/>
              <w:jc w:val="left"/>
              <w:rPr>
                <w:sz w:val="18"/>
              </w:rPr>
            </w:pPr>
            <w:r>
              <w:rPr>
                <w:sz w:val="18"/>
              </w:rPr>
              <w:t>Zakupnine i najamnine</w:t>
            </w:r>
          </w:p>
        </w:tc>
        <w:tc>
          <w:tcPr>
            <w:tcW w:w="1833" w:type="dxa"/>
            <w:tcBorders>
              <w:top w:val="single" w:sz="8" w:space="0" w:color="000000"/>
              <w:left w:val="single" w:sz="2" w:space="0" w:color="000000"/>
              <w:bottom w:val="nil"/>
              <w:right w:val="single" w:sz="2" w:space="0" w:color="000000"/>
            </w:tcBorders>
          </w:tcPr>
          <w:p>
            <w:pPr>
              <w:pStyle w:val="TableParagraph"/>
              <w:spacing w:before="9"/>
              <w:ind w:right="74"/>
              <w:rPr>
                <w:sz w:val="18"/>
              </w:rPr>
            </w:pPr>
            <w:r>
              <w:rPr>
                <w:sz w:val="18"/>
              </w:rPr>
              <w:t>0,00</w:t>
            </w:r>
          </w:p>
        </w:tc>
        <w:tc>
          <w:tcPr>
            <w:tcW w:w="1831"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nil"/>
              <w:right w:val="single" w:sz="2" w:space="0" w:color="000000"/>
            </w:tcBorders>
          </w:tcPr>
          <w:p>
            <w:pPr>
              <w:pStyle w:val="TableParagraph"/>
              <w:spacing w:before="9"/>
              <w:ind w:right="74"/>
              <w:rPr>
                <w:sz w:val="18"/>
              </w:rPr>
            </w:pPr>
            <w:r>
              <w:rPr>
                <w:sz w:val="18"/>
              </w:rPr>
              <w:t>40.000,00</w:t>
            </w:r>
          </w:p>
        </w:tc>
        <w:tc>
          <w:tcPr>
            <w:tcW w:w="1116"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8"/>
              </w:rPr>
            </w:pPr>
          </w:p>
        </w:tc>
        <w:tc>
          <w:tcPr>
            <w:tcW w:w="1120" w:type="dxa"/>
            <w:tcBorders>
              <w:top w:val="single" w:sz="8" w:space="0" w:color="000000"/>
              <w:left w:val="single" w:sz="2" w:space="0" w:color="000000"/>
              <w:bottom w:val="nil"/>
              <w:right w:val="nil"/>
            </w:tcBorders>
          </w:tcPr>
          <w:p>
            <w:pPr>
              <w:pStyle w:val="TableParagraph"/>
              <w:spacing w:before="0"/>
              <w:jc w:val="left"/>
              <w:rPr>
                <w:rFonts w:ascii="Times New Roman"/>
                <w:sz w:val="18"/>
              </w:rPr>
            </w:pPr>
          </w:p>
        </w:tc>
      </w:tr>
    </w:tbl>
    <w:p>
      <w:pPr>
        <w:spacing w:after="0"/>
        <w:jc w:val="left"/>
        <w:rPr>
          <w:rFonts w:ascii="Times New Roman"/>
          <w:sz w:val="18"/>
        </w:rPr>
        <w:sectPr>
          <w:pgSz w:w="16840" w:h="11900" w:orient="landscape"/>
          <w:pgMar w:header="0" w:footer="718" w:top="1100" w:bottom="90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399"/>
        <w:gridCol w:w="4672"/>
        <w:gridCol w:w="1833"/>
        <w:gridCol w:w="1831"/>
        <w:gridCol w:w="1831"/>
        <w:gridCol w:w="1831"/>
        <w:gridCol w:w="1116"/>
        <w:gridCol w:w="1117"/>
      </w:tblGrid>
      <w:tr>
        <w:trPr>
          <w:trHeight w:val="828" w:hRule="atLeast"/>
        </w:trPr>
        <w:tc>
          <w:tcPr>
            <w:tcW w:w="15364" w:type="dxa"/>
            <w:gridSpan w:val="9"/>
            <w:tcBorders>
              <w:left w:val="nil"/>
              <w:bottom w:val="single" w:sz="8" w:space="0" w:color="000000"/>
              <w:right w:val="nil"/>
            </w:tcBorders>
            <w:shd w:val="clear" w:color="auto" w:fill="C0C0C0"/>
          </w:tcPr>
          <w:p>
            <w:pPr>
              <w:pStyle w:val="TableParagraph"/>
              <w:spacing w:before="56"/>
              <w:ind w:left="1640"/>
              <w:jc w:val="left"/>
              <w:rPr>
                <w:rFonts w:ascii="Century" w:hAnsi="Century"/>
                <w:sz w:val="28"/>
              </w:rPr>
            </w:pPr>
            <w:r>
              <w:rPr>
                <w:rFonts w:ascii="Century" w:hAnsi="Century"/>
                <w:sz w:val="28"/>
              </w:rPr>
              <w:t>POLUGODIŠNJI IZVJEŠTAJ O IZVRŠENJU PRORAČUNA GRADA OZLJA ZA 2014. GODINU</w:t>
            </w:r>
          </w:p>
          <w:p>
            <w:pPr>
              <w:pStyle w:val="TableParagraph"/>
              <w:spacing w:before="67"/>
              <w:ind w:left="5442"/>
              <w:jc w:val="left"/>
              <w:rPr>
                <w:rFonts w:ascii="Times New Roman" w:hAnsi="Times New Roman"/>
                <w:sz w:val="22"/>
              </w:rPr>
            </w:pPr>
            <w:r>
              <w:rPr>
                <w:rFonts w:ascii="Times New Roman" w:hAnsi="Times New Roman"/>
                <w:sz w:val="22"/>
              </w:rPr>
              <w:t>A. RAČUN PRIHODA I RASHODA (RASHODI)</w:t>
            </w:r>
          </w:p>
        </w:tc>
      </w:tr>
      <w:tr>
        <w:trPr>
          <w:trHeight w:val="846" w:hRule="atLeast"/>
        </w:trPr>
        <w:tc>
          <w:tcPr>
            <w:tcW w:w="1133"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13"/>
              <w:ind w:left="231" w:right="229" w:hanging="49"/>
              <w:jc w:val="center"/>
              <w:rPr>
                <w:sz w:val="20"/>
              </w:rPr>
            </w:pPr>
            <w:r>
              <w:rPr>
                <w:sz w:val="20"/>
              </w:rPr>
              <w:t>Račun/ Pozicija</w:t>
            </w:r>
          </w:p>
          <w:p>
            <w:pPr>
              <w:pStyle w:val="TableParagraph"/>
              <w:spacing w:before="89"/>
              <w:ind w:left="11"/>
              <w:jc w:val="center"/>
              <w:rPr>
                <w:sz w:val="18"/>
              </w:rPr>
            </w:pPr>
            <w:r>
              <w:rPr>
                <w:w w:val="100"/>
                <w:sz w:val="18"/>
              </w:rPr>
              <w:t>1</w:t>
            </w:r>
          </w:p>
        </w:tc>
        <w:tc>
          <w:tcPr>
            <w:tcW w:w="467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2142" w:right="2096"/>
              <w:jc w:val="center"/>
              <w:rPr>
                <w:sz w:val="20"/>
              </w:rPr>
            </w:pPr>
            <w:r>
              <w:rPr>
                <w:sz w:val="20"/>
              </w:rPr>
              <w:t>Opis</w:t>
            </w:r>
          </w:p>
          <w:p>
            <w:pPr>
              <w:pStyle w:val="TableParagraph"/>
              <w:spacing w:before="2"/>
              <w:jc w:val="left"/>
              <w:rPr>
                <w:rFonts w:ascii="Times New Roman"/>
                <w:sz w:val="29"/>
              </w:rPr>
            </w:pPr>
          </w:p>
          <w:p>
            <w:pPr>
              <w:pStyle w:val="TableParagraph"/>
              <w:spacing w:before="0"/>
              <w:ind w:left="41"/>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8"/>
              <w:ind w:left="146" w:right="132"/>
              <w:jc w:val="center"/>
              <w:rPr>
                <w:sz w:val="20"/>
              </w:rPr>
            </w:pPr>
            <w:r>
              <w:rPr>
                <w:sz w:val="20"/>
              </w:rPr>
              <w:t>Izvršenje 01.01.-</w:t>
            </w:r>
          </w:p>
          <w:p>
            <w:pPr>
              <w:pStyle w:val="TableParagraph"/>
              <w:spacing w:line="241" w:lineRule="exact" w:before="0"/>
              <w:ind w:left="95" w:right="138"/>
              <w:jc w:val="center"/>
              <w:rPr>
                <w:sz w:val="20"/>
              </w:rPr>
            </w:pPr>
            <w:r>
              <w:rPr>
                <w:sz w:val="20"/>
              </w:rPr>
              <w:t>30.06.2013.</w:t>
            </w:r>
          </w:p>
          <w:p>
            <w:pPr>
              <w:pStyle w:val="TableParagraph"/>
              <w:spacing w:before="91"/>
              <w:ind w:left="16"/>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0" w:right="131"/>
              <w:jc w:val="center"/>
              <w:rPr>
                <w:sz w:val="20"/>
              </w:rPr>
            </w:pPr>
            <w:r>
              <w:rPr>
                <w:sz w:val="20"/>
              </w:rPr>
              <w:t>Izvorni plan za 2014. godinu</w:t>
            </w:r>
          </w:p>
          <w:p>
            <w:pPr>
              <w:pStyle w:val="TableParagraph"/>
              <w:spacing w:before="89"/>
              <w:ind w:left="33"/>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70" w:right="131"/>
              <w:jc w:val="center"/>
              <w:rPr>
                <w:sz w:val="20"/>
              </w:rPr>
            </w:pPr>
            <w:r>
              <w:rPr>
                <w:sz w:val="20"/>
              </w:rPr>
              <w:t>Tekući plan za 2014. godinu</w:t>
            </w:r>
          </w:p>
          <w:p>
            <w:pPr>
              <w:pStyle w:val="TableParagraph"/>
              <w:spacing w:before="94"/>
              <w:jc w:val="center"/>
              <w:rPr>
                <w:sz w:val="18"/>
              </w:rPr>
            </w:pPr>
            <w:r>
              <w:rPr>
                <w:w w:val="100"/>
                <w:sz w:val="18"/>
              </w:rPr>
              <w:t>5</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2"/>
              <w:jc w:val="center"/>
              <w:rPr>
                <w:sz w:val="20"/>
              </w:rPr>
            </w:pPr>
            <w:r>
              <w:rPr>
                <w:sz w:val="20"/>
              </w:rPr>
              <w:t>Izvršenje 01.01.-</w:t>
            </w:r>
          </w:p>
          <w:p>
            <w:pPr>
              <w:pStyle w:val="TableParagraph"/>
              <w:spacing w:line="241" w:lineRule="exact" w:before="0"/>
              <w:ind w:left="102" w:right="131"/>
              <w:jc w:val="center"/>
              <w:rPr>
                <w:sz w:val="20"/>
              </w:rPr>
            </w:pPr>
            <w:r>
              <w:rPr>
                <w:sz w:val="20"/>
              </w:rPr>
              <w:t>30.06.2014.</w:t>
            </w:r>
          </w:p>
          <w:p>
            <w:pPr>
              <w:pStyle w:val="TableParagraph"/>
              <w:spacing w:before="90"/>
              <w:ind w:left="29"/>
              <w:jc w:val="center"/>
              <w:rPr>
                <w:sz w:val="18"/>
              </w:rPr>
            </w:pPr>
            <w:r>
              <w:rPr>
                <w:w w:val="100"/>
                <w:sz w:val="18"/>
              </w:rPr>
              <w:t>6</w:t>
            </w:r>
          </w:p>
        </w:tc>
        <w:tc>
          <w:tcPr>
            <w:tcW w:w="1116"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268" w:right="250"/>
              <w:jc w:val="center"/>
              <w:rPr>
                <w:sz w:val="20"/>
              </w:rPr>
            </w:pPr>
            <w:r>
              <w:rPr>
                <w:w w:val="95"/>
                <w:sz w:val="20"/>
              </w:rPr>
              <w:t>Indeks </w:t>
            </w:r>
            <w:r>
              <w:rPr>
                <w:sz w:val="20"/>
              </w:rPr>
              <w:t>6/3</w:t>
            </w:r>
          </w:p>
          <w:p>
            <w:pPr>
              <w:pStyle w:val="TableParagraph"/>
              <w:spacing w:before="89"/>
              <w:ind w:left="20"/>
              <w:jc w:val="center"/>
              <w:rPr>
                <w:sz w:val="18"/>
              </w:rPr>
            </w:pPr>
            <w:r>
              <w:rPr>
                <w:w w:val="100"/>
                <w:sz w:val="18"/>
              </w:rPr>
              <w:t>7</w:t>
            </w:r>
          </w:p>
        </w:tc>
        <w:tc>
          <w:tcPr>
            <w:tcW w:w="1117"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8" w:right="263"/>
              <w:jc w:val="center"/>
              <w:rPr>
                <w:sz w:val="20"/>
              </w:rPr>
            </w:pPr>
            <w:r>
              <w:rPr>
                <w:w w:val="95"/>
                <w:sz w:val="20"/>
              </w:rPr>
              <w:t>Indeks </w:t>
            </w:r>
            <w:r>
              <w:rPr>
                <w:sz w:val="20"/>
              </w:rPr>
              <w:t>6/5</w:t>
            </w:r>
          </w:p>
          <w:p>
            <w:pPr>
              <w:pStyle w:val="TableParagraph"/>
              <w:spacing w:before="89"/>
              <w:jc w:val="center"/>
              <w:rPr>
                <w:sz w:val="18"/>
              </w:rPr>
            </w:pPr>
            <w:r>
              <w:rPr>
                <w:w w:val="100"/>
                <w:sz w:val="18"/>
              </w:rPr>
              <w:t>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3236</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Zdravstvene i veterinarske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16.615,46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16.725,23</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100,66%</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3237</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263.618,93</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304.317,88</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115,44%</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3238</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Računalne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21.235,78</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24.047,39</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113,24%</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3239</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23.580,17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44.166,48</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187,30%</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324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Naknade toškova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17.504,00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2"/>
              <w:rPr>
                <w:sz w:val="18"/>
              </w:rPr>
            </w:pPr>
            <w:r>
              <w:rPr>
                <w:sz w:val="18"/>
              </w:rPr>
              <w:t>78.252,96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78.252,96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35.092,91</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200,49%</w:t>
            </w:r>
          </w:p>
        </w:tc>
        <w:tc>
          <w:tcPr>
            <w:tcW w:w="1117" w:type="dxa"/>
            <w:tcBorders>
              <w:top w:val="single" w:sz="8" w:space="0" w:color="000000"/>
              <w:left w:val="single" w:sz="2" w:space="0" w:color="000000"/>
              <w:bottom w:val="single" w:sz="8" w:space="0" w:color="000000"/>
              <w:right w:val="nil"/>
            </w:tcBorders>
          </w:tcPr>
          <w:p>
            <w:pPr>
              <w:pStyle w:val="TableParagraph"/>
              <w:ind w:right="28"/>
              <w:rPr>
                <w:sz w:val="16"/>
              </w:rPr>
            </w:pPr>
            <w:r>
              <w:rPr>
                <w:sz w:val="16"/>
              </w:rPr>
              <w:t>44,85%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3241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Naknade troškova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17.504,00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35.092,91</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200,49%</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329</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212.840,09</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386.700,00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441.700,00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8"/>
              <w:rPr>
                <w:sz w:val="18"/>
              </w:rPr>
            </w:pPr>
            <w:r>
              <w:rPr>
                <w:sz w:val="18"/>
              </w:rPr>
              <w:t>272.529,16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128,04%</w:t>
            </w:r>
          </w:p>
        </w:tc>
        <w:tc>
          <w:tcPr>
            <w:tcW w:w="1117" w:type="dxa"/>
            <w:tcBorders>
              <w:top w:val="single" w:sz="8" w:space="0" w:color="000000"/>
              <w:left w:val="single" w:sz="2" w:space="0" w:color="000000"/>
              <w:bottom w:val="single" w:sz="8" w:space="0" w:color="000000"/>
              <w:right w:val="nil"/>
            </w:tcBorders>
          </w:tcPr>
          <w:p>
            <w:pPr>
              <w:pStyle w:val="TableParagraph"/>
              <w:ind w:right="28"/>
              <w:rPr>
                <w:sz w:val="16"/>
              </w:rPr>
            </w:pPr>
            <w:r>
              <w:rPr>
                <w:sz w:val="16"/>
              </w:rPr>
              <w:t>61,70%</w:t>
            </w:r>
          </w:p>
        </w:tc>
      </w:tr>
      <w:tr>
        <w:trPr>
          <w:trHeight w:val="481"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3291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Naknade za rad predstavničkih i izvršnih tijela, povjerenstava i slično</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113.701,81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156.700,76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137,82%</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3292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Premije osiguranja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10.611,39</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10.164,47</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95,79%</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3293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Reprezentacija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30.490,79</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39.638,78</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130,00%</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3294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Članarine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20.328,16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11.964,08</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58,85%</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3295</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Pristojbe i naknade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2.001,25</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4.354,00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217,56%</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3299</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35.706,69</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49.707,07</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139,21%</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10"/>
              <w:rPr>
                <w:rFonts w:ascii="Verdana"/>
                <w:sz w:val="18"/>
              </w:rPr>
            </w:pPr>
            <w:r>
              <w:rPr>
                <w:rFonts w:ascii="Verdana"/>
                <w:sz w:val="18"/>
              </w:rPr>
              <w:t>34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8"/>
              <w:ind w:left="92"/>
              <w:jc w:val="left"/>
              <w:rPr>
                <w:rFonts w:ascii="Verdana"/>
                <w:sz w:val="18"/>
              </w:rPr>
            </w:pPr>
            <w:r>
              <w:rPr>
                <w:rFonts w:ascii="Verdana"/>
                <w:w w:val="105"/>
                <w:sz w:val="18"/>
              </w:rPr>
              <w:t>Financijski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4"/>
              <w:rPr>
                <w:rFonts w:ascii="Verdana"/>
                <w:sz w:val="18"/>
              </w:rPr>
            </w:pPr>
            <w:r>
              <w:rPr>
                <w:rFonts w:ascii="Verdana"/>
                <w:sz w:val="18"/>
              </w:rPr>
              <w:t>17.348,49</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6"/>
              <w:rPr>
                <w:rFonts w:ascii="Verdana"/>
                <w:sz w:val="18"/>
              </w:rPr>
            </w:pPr>
            <w:r>
              <w:rPr>
                <w:rFonts w:ascii="Verdana"/>
                <w:sz w:val="18"/>
              </w:rPr>
              <w:t>134.000,00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2"/>
              <w:rPr>
                <w:rFonts w:ascii="Verdana"/>
                <w:sz w:val="18"/>
              </w:rPr>
            </w:pPr>
            <w:r>
              <w:rPr>
                <w:rFonts w:ascii="Verdana"/>
                <w:sz w:val="18"/>
              </w:rPr>
              <w:t>134.000,00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7"/>
              <w:rPr>
                <w:rFonts w:ascii="Verdana"/>
                <w:sz w:val="18"/>
              </w:rPr>
            </w:pPr>
            <w:r>
              <w:rPr>
                <w:rFonts w:ascii="Verdana"/>
                <w:sz w:val="18"/>
              </w:rPr>
              <w:t>55.710,63</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8"/>
              <w:ind w:right="33"/>
              <w:rPr>
                <w:rFonts w:ascii="Verdana"/>
                <w:sz w:val="18"/>
              </w:rPr>
            </w:pPr>
            <w:r>
              <w:rPr>
                <w:rFonts w:ascii="Verdana"/>
                <w:sz w:val="18"/>
              </w:rPr>
              <w:t>321,13%</w:t>
            </w:r>
          </w:p>
        </w:tc>
        <w:tc>
          <w:tcPr>
            <w:tcW w:w="1117" w:type="dxa"/>
            <w:tcBorders>
              <w:top w:val="single" w:sz="8" w:space="0" w:color="000000"/>
              <w:left w:val="single" w:sz="2" w:space="0" w:color="000000"/>
              <w:bottom w:val="single" w:sz="8" w:space="0" w:color="000000"/>
              <w:right w:val="nil"/>
            </w:tcBorders>
          </w:tcPr>
          <w:p>
            <w:pPr>
              <w:pStyle w:val="TableParagraph"/>
              <w:spacing w:before="8"/>
              <w:ind w:right="31"/>
              <w:rPr>
                <w:rFonts w:ascii="Verdana"/>
                <w:sz w:val="18"/>
              </w:rPr>
            </w:pPr>
            <w:r>
              <w:rPr>
                <w:rFonts w:ascii="Verdana"/>
                <w:sz w:val="18"/>
              </w:rPr>
              <w:t>41,58%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342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Kamate za primljene zajmove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168,37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2"/>
              <w:rPr>
                <w:sz w:val="18"/>
              </w:rPr>
            </w:pPr>
            <w:r>
              <w:rPr>
                <w:sz w:val="18"/>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67"/>
              <w:rPr>
                <w:sz w:val="18"/>
              </w:rPr>
            </w:pPr>
            <w:r>
              <w:rPr>
                <w:sz w:val="18"/>
              </w:rPr>
              <w:t>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8"/>
              <w:rPr>
                <w:sz w:val="16"/>
              </w:rPr>
            </w:pPr>
            <w:r>
              <w:rPr>
                <w:sz w:val="16"/>
              </w:rPr>
              <w:t>0,00%</w:t>
            </w:r>
          </w:p>
        </w:tc>
        <w:tc>
          <w:tcPr>
            <w:tcW w:w="1117" w:type="dxa"/>
            <w:tcBorders>
              <w:top w:val="single" w:sz="8" w:space="0" w:color="000000"/>
              <w:left w:val="single" w:sz="2" w:space="0" w:color="000000"/>
              <w:bottom w:val="single" w:sz="8" w:space="0" w:color="000000"/>
              <w:right w:val="nil"/>
            </w:tcBorders>
          </w:tcPr>
          <w:p>
            <w:pPr>
              <w:pStyle w:val="TableParagraph"/>
              <w:ind w:right="29"/>
              <w:rPr>
                <w:sz w:val="16"/>
              </w:rPr>
            </w:pPr>
            <w:r>
              <w:rPr>
                <w:sz w:val="16"/>
              </w:rPr>
              <w:t>0,00%</w:t>
            </w:r>
          </w:p>
        </w:tc>
      </w:tr>
      <w:tr>
        <w:trPr>
          <w:trHeight w:val="481"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3422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Kamate za primljene zajmove od banaka i ostalih financijskih institucija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168,37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67"/>
              <w:rPr>
                <w:sz w:val="18"/>
              </w:rPr>
            </w:pPr>
            <w:r>
              <w:rPr>
                <w:sz w:val="18"/>
              </w:rPr>
              <w:t>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8"/>
              <w:rPr>
                <w:sz w:val="16"/>
              </w:rPr>
            </w:pPr>
            <w:r>
              <w:rPr>
                <w:sz w:val="16"/>
              </w:rPr>
              <w:t>0,00%</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343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Ostali financijski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17.180,12</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2"/>
              <w:rPr>
                <w:sz w:val="18"/>
              </w:rPr>
            </w:pPr>
            <w:r>
              <w:rPr>
                <w:sz w:val="18"/>
              </w:rPr>
              <w:t>89.000,00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89.000,00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55.710,63</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324,27%</w:t>
            </w:r>
          </w:p>
        </w:tc>
        <w:tc>
          <w:tcPr>
            <w:tcW w:w="1117" w:type="dxa"/>
            <w:tcBorders>
              <w:top w:val="single" w:sz="8" w:space="0" w:color="000000"/>
              <w:left w:val="single" w:sz="2" w:space="0" w:color="000000"/>
              <w:bottom w:val="single" w:sz="8" w:space="0" w:color="000000"/>
              <w:right w:val="nil"/>
            </w:tcBorders>
          </w:tcPr>
          <w:p>
            <w:pPr>
              <w:pStyle w:val="TableParagraph"/>
              <w:ind w:right="28"/>
              <w:rPr>
                <w:sz w:val="16"/>
              </w:rPr>
            </w:pPr>
            <w:r>
              <w:rPr>
                <w:sz w:val="16"/>
              </w:rPr>
              <w:t>62,60%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3431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Bankarske usluge i usluge platnog prometa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17.180,12</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11.702,72</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68,12%</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3433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Zatezne kamate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67"/>
              <w:rPr>
                <w:sz w:val="18"/>
              </w:rPr>
            </w:pPr>
            <w:r>
              <w:rPr>
                <w:sz w:val="18"/>
              </w:rPr>
              <w:t>7,91</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3434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Ostali nespomenuti financijski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44.000,00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10"/>
              <w:rPr>
                <w:rFonts w:ascii="Verdana"/>
                <w:sz w:val="18"/>
              </w:rPr>
            </w:pPr>
            <w:r>
              <w:rPr>
                <w:rFonts w:ascii="Verdana"/>
                <w:sz w:val="18"/>
              </w:rPr>
              <w:t>35</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8"/>
              <w:ind w:left="92"/>
              <w:jc w:val="left"/>
              <w:rPr>
                <w:rFonts w:ascii="Verdana"/>
                <w:sz w:val="18"/>
              </w:rPr>
            </w:pPr>
            <w:r>
              <w:rPr>
                <w:rFonts w:ascii="Verdana"/>
                <w:sz w:val="18"/>
              </w:rPr>
              <w:t>Subvencije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4"/>
              <w:rPr>
                <w:rFonts w:ascii="Verdana"/>
                <w:sz w:val="18"/>
              </w:rPr>
            </w:pPr>
            <w:r>
              <w:rPr>
                <w:rFonts w:ascii="Verdana"/>
                <w:sz w:val="18"/>
              </w:rPr>
              <w:t>4.687,31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6"/>
              <w:rPr>
                <w:rFonts w:ascii="Verdana"/>
                <w:sz w:val="18"/>
              </w:rPr>
            </w:pPr>
            <w:r>
              <w:rPr>
                <w:rFonts w:ascii="Verdana"/>
                <w:sz w:val="18"/>
              </w:rPr>
              <w:t>174.000,00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2"/>
              <w:rPr>
                <w:rFonts w:ascii="Verdana"/>
                <w:sz w:val="18"/>
              </w:rPr>
            </w:pPr>
            <w:r>
              <w:rPr>
                <w:rFonts w:ascii="Verdana"/>
                <w:sz w:val="18"/>
              </w:rPr>
              <w:t>174.000,00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7"/>
              <w:rPr>
                <w:rFonts w:ascii="Verdana"/>
                <w:sz w:val="18"/>
              </w:rPr>
            </w:pPr>
            <w:r>
              <w:rPr>
                <w:rFonts w:ascii="Verdana"/>
                <w:sz w:val="18"/>
              </w:rPr>
              <w:t>8.383,65</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8"/>
              <w:ind w:right="33"/>
              <w:rPr>
                <w:rFonts w:ascii="Verdana"/>
                <w:sz w:val="18"/>
              </w:rPr>
            </w:pPr>
            <w:r>
              <w:rPr>
                <w:rFonts w:ascii="Verdana"/>
                <w:sz w:val="18"/>
              </w:rPr>
              <w:t>178,86%</w:t>
            </w:r>
          </w:p>
        </w:tc>
        <w:tc>
          <w:tcPr>
            <w:tcW w:w="1117" w:type="dxa"/>
            <w:tcBorders>
              <w:top w:val="single" w:sz="8" w:space="0" w:color="000000"/>
              <w:left w:val="single" w:sz="2" w:space="0" w:color="000000"/>
              <w:bottom w:val="single" w:sz="8" w:space="0" w:color="000000"/>
              <w:right w:val="nil"/>
            </w:tcBorders>
          </w:tcPr>
          <w:p>
            <w:pPr>
              <w:pStyle w:val="TableParagraph"/>
              <w:spacing w:before="8"/>
              <w:ind w:right="32"/>
              <w:rPr>
                <w:rFonts w:ascii="Verdana"/>
                <w:sz w:val="18"/>
              </w:rPr>
            </w:pPr>
            <w:r>
              <w:rPr>
                <w:rFonts w:ascii="Verdana"/>
                <w:sz w:val="18"/>
              </w:rPr>
              <w:t>4,82%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351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Subvencije trgovačkim društvima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2"/>
              <w:rPr>
                <w:sz w:val="18"/>
              </w:rPr>
            </w:pPr>
            <w:r>
              <w:rPr>
                <w:sz w:val="18"/>
              </w:rPr>
              <w:t>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67"/>
              <w:rPr>
                <w:sz w:val="18"/>
              </w:rPr>
            </w:pPr>
            <w:r>
              <w:rPr>
                <w:sz w:val="18"/>
              </w:rPr>
              <w:t>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117" w:type="dxa"/>
            <w:tcBorders>
              <w:top w:val="single" w:sz="8" w:space="0" w:color="000000"/>
              <w:left w:val="single" w:sz="2" w:space="0" w:color="000000"/>
              <w:bottom w:val="single" w:sz="8" w:space="0" w:color="000000"/>
              <w:right w:val="nil"/>
            </w:tcBorders>
          </w:tcPr>
          <w:p>
            <w:pPr>
              <w:pStyle w:val="TableParagraph"/>
              <w:ind w:right="2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3512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Subvencije trgovačkim društvima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67"/>
              <w:rPr>
                <w:sz w:val="18"/>
              </w:rPr>
            </w:pPr>
            <w:r>
              <w:rPr>
                <w:sz w:val="18"/>
              </w:rPr>
              <w:t>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496" w:hRule="atLeast"/>
        </w:trPr>
        <w:tc>
          <w:tcPr>
            <w:tcW w:w="734" w:type="dxa"/>
            <w:tcBorders>
              <w:top w:val="single" w:sz="8" w:space="0" w:color="000000"/>
              <w:left w:val="nil"/>
              <w:bottom w:val="nil"/>
              <w:right w:val="single" w:sz="2" w:space="0" w:color="000000"/>
            </w:tcBorders>
          </w:tcPr>
          <w:p>
            <w:pPr>
              <w:pStyle w:val="TableParagraph"/>
              <w:spacing w:before="9"/>
              <w:ind w:right="13"/>
              <w:rPr>
                <w:sz w:val="18"/>
              </w:rPr>
            </w:pPr>
            <w:r>
              <w:rPr>
                <w:sz w:val="18"/>
              </w:rPr>
              <w:t>352</w:t>
            </w:r>
          </w:p>
        </w:tc>
        <w:tc>
          <w:tcPr>
            <w:tcW w:w="399"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nil"/>
              <w:right w:val="single" w:sz="2" w:space="0" w:color="000000"/>
            </w:tcBorders>
          </w:tcPr>
          <w:p>
            <w:pPr>
              <w:pStyle w:val="TableParagraph"/>
              <w:spacing w:before="9"/>
              <w:ind w:left="92"/>
              <w:jc w:val="left"/>
              <w:rPr>
                <w:sz w:val="18"/>
              </w:rPr>
            </w:pPr>
            <w:r>
              <w:rPr>
                <w:sz w:val="18"/>
              </w:rPr>
              <w:t>Subvencije trgovačkim društvima, obrtnicima, malim i srednjim poduzetnicima izvan javnog sektora</w:t>
            </w:r>
          </w:p>
        </w:tc>
        <w:tc>
          <w:tcPr>
            <w:tcW w:w="1833" w:type="dxa"/>
            <w:tcBorders>
              <w:top w:val="single" w:sz="8" w:space="0" w:color="000000"/>
              <w:left w:val="single" w:sz="2" w:space="0" w:color="000000"/>
              <w:bottom w:val="nil"/>
              <w:right w:val="single" w:sz="2" w:space="0" w:color="000000"/>
            </w:tcBorders>
          </w:tcPr>
          <w:p>
            <w:pPr>
              <w:pStyle w:val="TableParagraph"/>
              <w:spacing w:before="9"/>
              <w:ind w:right="80"/>
              <w:rPr>
                <w:sz w:val="18"/>
              </w:rPr>
            </w:pPr>
            <w:r>
              <w:rPr>
                <w:sz w:val="18"/>
              </w:rPr>
              <w:t>4.687,31</w:t>
            </w:r>
          </w:p>
        </w:tc>
        <w:tc>
          <w:tcPr>
            <w:tcW w:w="1831" w:type="dxa"/>
            <w:tcBorders>
              <w:top w:val="single" w:sz="8" w:space="0" w:color="000000"/>
              <w:left w:val="single" w:sz="2" w:space="0" w:color="000000"/>
              <w:bottom w:val="nil"/>
              <w:right w:val="single" w:sz="2" w:space="0" w:color="000000"/>
            </w:tcBorders>
          </w:tcPr>
          <w:p>
            <w:pPr>
              <w:pStyle w:val="TableParagraph"/>
              <w:spacing w:before="9"/>
              <w:ind w:right="74"/>
              <w:rPr>
                <w:sz w:val="18"/>
              </w:rPr>
            </w:pPr>
            <w:r>
              <w:rPr>
                <w:sz w:val="18"/>
              </w:rPr>
              <w:t>142.000,00</w:t>
            </w:r>
          </w:p>
        </w:tc>
        <w:tc>
          <w:tcPr>
            <w:tcW w:w="1831" w:type="dxa"/>
            <w:tcBorders>
              <w:top w:val="single" w:sz="8" w:space="0" w:color="000000"/>
              <w:left w:val="single" w:sz="2" w:space="0" w:color="000000"/>
              <w:bottom w:val="nil"/>
              <w:right w:val="single" w:sz="2" w:space="0" w:color="000000"/>
            </w:tcBorders>
          </w:tcPr>
          <w:p>
            <w:pPr>
              <w:pStyle w:val="TableParagraph"/>
              <w:spacing w:before="9"/>
              <w:ind w:right="89"/>
              <w:rPr>
                <w:sz w:val="18"/>
              </w:rPr>
            </w:pPr>
            <w:r>
              <w:rPr>
                <w:sz w:val="18"/>
              </w:rPr>
              <w:t>142.000,00</w:t>
            </w:r>
          </w:p>
        </w:tc>
        <w:tc>
          <w:tcPr>
            <w:tcW w:w="1831" w:type="dxa"/>
            <w:tcBorders>
              <w:top w:val="single" w:sz="8" w:space="0" w:color="000000"/>
              <w:left w:val="single" w:sz="2" w:space="0" w:color="000000"/>
              <w:bottom w:val="nil"/>
              <w:right w:val="single" w:sz="2" w:space="0" w:color="000000"/>
            </w:tcBorders>
          </w:tcPr>
          <w:p>
            <w:pPr>
              <w:pStyle w:val="TableParagraph"/>
              <w:spacing w:before="9"/>
              <w:ind w:right="75"/>
              <w:rPr>
                <w:sz w:val="18"/>
              </w:rPr>
            </w:pPr>
            <w:r>
              <w:rPr>
                <w:sz w:val="18"/>
              </w:rPr>
              <w:t>8.383,65</w:t>
            </w:r>
          </w:p>
        </w:tc>
        <w:tc>
          <w:tcPr>
            <w:tcW w:w="1116" w:type="dxa"/>
            <w:tcBorders>
              <w:top w:val="single" w:sz="8" w:space="0" w:color="000000"/>
              <w:left w:val="single" w:sz="2" w:space="0" w:color="000000"/>
              <w:bottom w:val="nil"/>
              <w:right w:val="single" w:sz="2" w:space="0" w:color="000000"/>
            </w:tcBorders>
          </w:tcPr>
          <w:p>
            <w:pPr>
              <w:pStyle w:val="TableParagraph"/>
              <w:ind w:right="25"/>
              <w:rPr>
                <w:sz w:val="16"/>
              </w:rPr>
            </w:pPr>
            <w:r>
              <w:rPr>
                <w:sz w:val="16"/>
              </w:rPr>
              <w:t>178,86%</w:t>
            </w:r>
          </w:p>
        </w:tc>
        <w:tc>
          <w:tcPr>
            <w:tcW w:w="1117" w:type="dxa"/>
            <w:tcBorders>
              <w:top w:val="single" w:sz="8" w:space="0" w:color="000000"/>
              <w:left w:val="single" w:sz="2" w:space="0" w:color="000000"/>
              <w:bottom w:val="nil"/>
              <w:right w:val="nil"/>
            </w:tcBorders>
          </w:tcPr>
          <w:p>
            <w:pPr>
              <w:pStyle w:val="TableParagraph"/>
              <w:ind w:right="30"/>
              <w:rPr>
                <w:sz w:val="16"/>
              </w:rPr>
            </w:pPr>
            <w:r>
              <w:rPr>
                <w:sz w:val="16"/>
              </w:rPr>
              <w:t>5,90%</w:t>
            </w:r>
          </w:p>
        </w:tc>
      </w:tr>
    </w:tbl>
    <w:p>
      <w:pPr>
        <w:spacing w:after="0"/>
        <w:rPr>
          <w:sz w:val="16"/>
        </w:rPr>
        <w:sectPr>
          <w:pgSz w:w="16840" w:h="11900" w:orient="landscape"/>
          <w:pgMar w:header="0" w:footer="718" w:top="1100" w:bottom="900" w:left="740" w:right="340"/>
        </w:sectPr>
      </w:pPr>
    </w:p>
    <w:p>
      <w:pPr>
        <w:pStyle w:val="BodyText"/>
        <w:spacing w:before="9"/>
        <w:rPr>
          <w:sz w:val="2"/>
        </w:rPr>
      </w:pPr>
    </w:p>
    <w:tbl>
      <w:tblPr>
        <w:tblW w:w="0" w:type="auto"/>
        <w:jc w:val="left"/>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399"/>
        <w:gridCol w:w="4672"/>
        <w:gridCol w:w="1833"/>
        <w:gridCol w:w="1831"/>
        <w:gridCol w:w="1831"/>
        <w:gridCol w:w="1831"/>
        <w:gridCol w:w="1116"/>
        <w:gridCol w:w="1117"/>
      </w:tblGrid>
      <w:tr>
        <w:trPr>
          <w:trHeight w:val="828" w:hRule="atLeast"/>
        </w:trPr>
        <w:tc>
          <w:tcPr>
            <w:tcW w:w="15364" w:type="dxa"/>
            <w:gridSpan w:val="9"/>
            <w:tcBorders>
              <w:left w:val="nil"/>
              <w:bottom w:val="single" w:sz="8" w:space="0" w:color="000000"/>
              <w:right w:val="nil"/>
            </w:tcBorders>
            <w:shd w:val="clear" w:color="auto" w:fill="C0C0C0"/>
          </w:tcPr>
          <w:p>
            <w:pPr>
              <w:pStyle w:val="TableParagraph"/>
              <w:spacing w:before="56"/>
              <w:ind w:left="1641"/>
              <w:jc w:val="left"/>
              <w:rPr>
                <w:rFonts w:ascii="Century" w:hAnsi="Century"/>
                <w:sz w:val="28"/>
              </w:rPr>
            </w:pPr>
            <w:r>
              <w:rPr>
                <w:rFonts w:ascii="Century" w:hAnsi="Century"/>
                <w:sz w:val="28"/>
              </w:rPr>
              <w:t>POLUGODIŠNJI IZVJEŠTAJ O IZVRŠENJU PRORAČUNA GRADA OZLJA ZA 2014. GODINU</w:t>
            </w:r>
          </w:p>
          <w:p>
            <w:pPr>
              <w:pStyle w:val="TableParagraph"/>
              <w:spacing w:before="67"/>
              <w:ind w:left="5443"/>
              <w:jc w:val="left"/>
              <w:rPr>
                <w:rFonts w:ascii="Times New Roman" w:hAnsi="Times New Roman"/>
                <w:sz w:val="22"/>
              </w:rPr>
            </w:pPr>
            <w:r>
              <w:rPr>
                <w:rFonts w:ascii="Times New Roman" w:hAnsi="Times New Roman"/>
                <w:sz w:val="22"/>
              </w:rPr>
              <w:t>A. RAČUN PRIHODA I RASHODA (RASHODI)</w:t>
            </w:r>
          </w:p>
        </w:tc>
      </w:tr>
      <w:tr>
        <w:trPr>
          <w:trHeight w:val="846" w:hRule="atLeast"/>
        </w:trPr>
        <w:tc>
          <w:tcPr>
            <w:tcW w:w="1133"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13"/>
              <w:ind w:left="232" w:right="228" w:hanging="49"/>
              <w:jc w:val="center"/>
              <w:rPr>
                <w:sz w:val="20"/>
              </w:rPr>
            </w:pPr>
            <w:r>
              <w:rPr>
                <w:sz w:val="20"/>
              </w:rPr>
              <w:t>Račun/ Pozicija</w:t>
            </w:r>
          </w:p>
          <w:p>
            <w:pPr>
              <w:pStyle w:val="TableParagraph"/>
              <w:spacing w:before="89"/>
              <w:ind w:left="14"/>
              <w:jc w:val="center"/>
              <w:rPr>
                <w:sz w:val="18"/>
              </w:rPr>
            </w:pPr>
            <w:r>
              <w:rPr>
                <w:w w:val="100"/>
                <w:sz w:val="18"/>
              </w:rPr>
              <w:t>1</w:t>
            </w:r>
          </w:p>
        </w:tc>
        <w:tc>
          <w:tcPr>
            <w:tcW w:w="467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2143" w:right="2095"/>
              <w:jc w:val="center"/>
              <w:rPr>
                <w:sz w:val="20"/>
              </w:rPr>
            </w:pPr>
            <w:r>
              <w:rPr>
                <w:sz w:val="20"/>
              </w:rPr>
              <w:t>Opis</w:t>
            </w:r>
          </w:p>
          <w:p>
            <w:pPr>
              <w:pStyle w:val="TableParagraph"/>
              <w:spacing w:before="2"/>
              <w:jc w:val="left"/>
              <w:rPr>
                <w:rFonts w:ascii="Times New Roman"/>
                <w:sz w:val="29"/>
              </w:rPr>
            </w:pPr>
          </w:p>
          <w:p>
            <w:pPr>
              <w:pStyle w:val="TableParagraph"/>
              <w:spacing w:before="0"/>
              <w:ind w:left="43"/>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8"/>
              <w:ind w:left="146" w:right="130"/>
              <w:jc w:val="center"/>
              <w:rPr>
                <w:sz w:val="20"/>
              </w:rPr>
            </w:pPr>
            <w:r>
              <w:rPr>
                <w:sz w:val="20"/>
              </w:rPr>
              <w:t>Izvršenje 01.01.-</w:t>
            </w:r>
          </w:p>
          <w:p>
            <w:pPr>
              <w:pStyle w:val="TableParagraph"/>
              <w:spacing w:line="241" w:lineRule="exact" w:before="0"/>
              <w:ind w:left="97" w:right="138"/>
              <w:jc w:val="center"/>
              <w:rPr>
                <w:sz w:val="20"/>
              </w:rPr>
            </w:pPr>
            <w:r>
              <w:rPr>
                <w:sz w:val="20"/>
              </w:rPr>
              <w:t>30.06.2013.</w:t>
            </w:r>
          </w:p>
          <w:p>
            <w:pPr>
              <w:pStyle w:val="TableParagraph"/>
              <w:spacing w:before="91"/>
              <w:ind w:left="1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3" w:right="131"/>
              <w:jc w:val="center"/>
              <w:rPr>
                <w:sz w:val="20"/>
              </w:rPr>
            </w:pPr>
            <w:r>
              <w:rPr>
                <w:sz w:val="20"/>
              </w:rPr>
              <w:t>Izvorni plan za 2014. godinu</w:t>
            </w:r>
          </w:p>
          <w:p>
            <w:pPr>
              <w:pStyle w:val="TableParagraph"/>
              <w:spacing w:before="89"/>
              <w:ind w:left="36"/>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72" w:right="131"/>
              <w:jc w:val="center"/>
              <w:rPr>
                <w:sz w:val="20"/>
              </w:rPr>
            </w:pPr>
            <w:r>
              <w:rPr>
                <w:sz w:val="20"/>
              </w:rPr>
              <w:t>Tekući plan za 2014. godinu</w:t>
            </w:r>
          </w:p>
          <w:p>
            <w:pPr>
              <w:pStyle w:val="TableParagraph"/>
              <w:spacing w:before="94"/>
              <w:ind w:left="3"/>
              <w:jc w:val="center"/>
              <w:rPr>
                <w:sz w:val="18"/>
              </w:rPr>
            </w:pPr>
            <w:r>
              <w:rPr>
                <w:w w:val="100"/>
                <w:sz w:val="18"/>
              </w:rPr>
              <w:t>5</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19"/>
              <w:jc w:val="center"/>
              <w:rPr>
                <w:sz w:val="20"/>
              </w:rPr>
            </w:pPr>
            <w:r>
              <w:rPr>
                <w:sz w:val="20"/>
              </w:rPr>
              <w:t>Izvršenje 01.01.-</w:t>
            </w:r>
          </w:p>
          <w:p>
            <w:pPr>
              <w:pStyle w:val="TableParagraph"/>
              <w:spacing w:line="241" w:lineRule="exact" w:before="0"/>
              <w:ind w:left="104" w:right="131"/>
              <w:jc w:val="center"/>
              <w:rPr>
                <w:sz w:val="20"/>
              </w:rPr>
            </w:pPr>
            <w:r>
              <w:rPr>
                <w:sz w:val="20"/>
              </w:rPr>
              <w:t>30.06.2014.</w:t>
            </w:r>
          </w:p>
          <w:p>
            <w:pPr>
              <w:pStyle w:val="TableParagraph"/>
              <w:spacing w:before="90"/>
              <w:ind w:left="32"/>
              <w:jc w:val="center"/>
              <w:rPr>
                <w:sz w:val="18"/>
              </w:rPr>
            </w:pPr>
            <w:r>
              <w:rPr>
                <w:w w:val="100"/>
                <w:sz w:val="18"/>
              </w:rPr>
              <w:t>6</w:t>
            </w:r>
          </w:p>
        </w:tc>
        <w:tc>
          <w:tcPr>
            <w:tcW w:w="1116"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269" w:right="249"/>
              <w:jc w:val="center"/>
              <w:rPr>
                <w:sz w:val="20"/>
              </w:rPr>
            </w:pPr>
            <w:r>
              <w:rPr>
                <w:w w:val="95"/>
                <w:sz w:val="20"/>
              </w:rPr>
              <w:t>Indeks </w:t>
            </w:r>
            <w:r>
              <w:rPr>
                <w:sz w:val="20"/>
              </w:rPr>
              <w:t>6/3</w:t>
            </w:r>
          </w:p>
          <w:p>
            <w:pPr>
              <w:pStyle w:val="TableParagraph"/>
              <w:spacing w:before="89"/>
              <w:ind w:left="22"/>
              <w:jc w:val="center"/>
              <w:rPr>
                <w:sz w:val="18"/>
              </w:rPr>
            </w:pPr>
            <w:r>
              <w:rPr>
                <w:w w:val="100"/>
                <w:sz w:val="18"/>
              </w:rPr>
              <w:t>7</w:t>
            </w:r>
          </w:p>
        </w:tc>
        <w:tc>
          <w:tcPr>
            <w:tcW w:w="1117"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9" w:right="262"/>
              <w:jc w:val="center"/>
              <w:rPr>
                <w:sz w:val="20"/>
              </w:rPr>
            </w:pPr>
            <w:r>
              <w:rPr>
                <w:w w:val="95"/>
                <w:sz w:val="20"/>
              </w:rPr>
              <w:t>Indeks </w:t>
            </w:r>
            <w:r>
              <w:rPr>
                <w:sz w:val="20"/>
              </w:rPr>
              <w:t>6/5</w:t>
            </w:r>
          </w:p>
          <w:p>
            <w:pPr>
              <w:pStyle w:val="TableParagraph"/>
              <w:spacing w:before="89"/>
              <w:jc w:val="center"/>
              <w:rPr>
                <w:sz w:val="18"/>
              </w:rPr>
            </w:pPr>
            <w:r>
              <w:rPr>
                <w:w w:val="100"/>
                <w:sz w:val="18"/>
              </w:rPr>
              <w:t>8</w:t>
            </w:r>
          </w:p>
        </w:tc>
      </w:tr>
      <w:tr>
        <w:trPr>
          <w:trHeight w:val="481"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4"/>
              <w:rPr>
                <w:sz w:val="18"/>
              </w:rPr>
            </w:pPr>
            <w:r>
              <w:rPr>
                <w:sz w:val="18"/>
              </w:rPr>
              <w:t>3523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3"/>
              <w:jc w:val="left"/>
              <w:rPr>
                <w:sz w:val="18"/>
              </w:rPr>
            </w:pPr>
            <w:r>
              <w:rPr>
                <w:sz w:val="18"/>
              </w:rPr>
              <w:t>Subvencije poljoprivrednicima, obrtnicima, malim i srednjim poduzetnicima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8"/>
              <w:rPr>
                <w:sz w:val="18"/>
              </w:rPr>
            </w:pPr>
            <w:r>
              <w:rPr>
                <w:sz w:val="18"/>
              </w:rPr>
              <w:t>4.687,31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3"/>
              <w:rPr>
                <w:sz w:val="18"/>
              </w:rPr>
            </w:pPr>
            <w:r>
              <w:rPr>
                <w:sz w:val="18"/>
              </w:rPr>
              <w:t>8.383,65</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4"/>
              <w:rPr>
                <w:sz w:val="16"/>
              </w:rPr>
            </w:pPr>
            <w:r>
              <w:rPr>
                <w:sz w:val="16"/>
              </w:rPr>
              <w:t>178,86%</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479"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9"/>
              <w:rPr>
                <w:rFonts w:ascii="Verdana"/>
                <w:sz w:val="18"/>
              </w:rPr>
            </w:pPr>
            <w:r>
              <w:rPr>
                <w:rFonts w:ascii="Verdana"/>
                <w:sz w:val="18"/>
              </w:rPr>
              <w:t>37</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line="237" w:lineRule="auto"/>
              <w:ind w:left="93"/>
              <w:jc w:val="left"/>
              <w:rPr>
                <w:rFonts w:ascii="Verdana" w:hAnsi="Verdana"/>
                <w:sz w:val="18"/>
              </w:rPr>
            </w:pPr>
            <w:r>
              <w:rPr>
                <w:rFonts w:ascii="Verdana" w:hAnsi="Verdana"/>
                <w:sz w:val="18"/>
              </w:rPr>
              <w:t>Naknade građanima i kućanstvima na temelju osiguranja i druge naknade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5"/>
              <w:rPr>
                <w:rFonts w:ascii="Verdana"/>
                <w:sz w:val="18"/>
              </w:rPr>
            </w:pPr>
            <w:r>
              <w:rPr>
                <w:rFonts w:ascii="Verdana"/>
                <w:sz w:val="18"/>
              </w:rPr>
              <w:t>382.420,58</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5"/>
              <w:rPr>
                <w:rFonts w:ascii="Verdana"/>
                <w:sz w:val="18"/>
              </w:rPr>
            </w:pPr>
            <w:r>
              <w:rPr>
                <w:rFonts w:ascii="Verdana"/>
                <w:sz w:val="18"/>
              </w:rPr>
              <w:t>588.000,00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1"/>
              <w:rPr>
                <w:rFonts w:ascii="Verdana"/>
                <w:sz w:val="18"/>
              </w:rPr>
            </w:pPr>
            <w:r>
              <w:rPr>
                <w:rFonts w:ascii="Verdana"/>
                <w:sz w:val="18"/>
              </w:rPr>
              <w:t>588.000,00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6"/>
              <w:rPr>
                <w:rFonts w:ascii="Verdana"/>
                <w:sz w:val="18"/>
              </w:rPr>
            </w:pPr>
            <w:r>
              <w:rPr>
                <w:rFonts w:ascii="Verdana"/>
                <w:sz w:val="18"/>
              </w:rPr>
              <w:t>281.055,56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8"/>
              <w:ind w:right="29"/>
              <w:rPr>
                <w:rFonts w:ascii="Verdana"/>
                <w:sz w:val="18"/>
              </w:rPr>
            </w:pPr>
            <w:r>
              <w:rPr>
                <w:rFonts w:ascii="Verdana"/>
                <w:sz w:val="18"/>
              </w:rPr>
              <w:t>73,49%</w:t>
            </w:r>
          </w:p>
        </w:tc>
        <w:tc>
          <w:tcPr>
            <w:tcW w:w="1117" w:type="dxa"/>
            <w:tcBorders>
              <w:top w:val="single" w:sz="8" w:space="0" w:color="000000"/>
              <w:left w:val="single" w:sz="2" w:space="0" w:color="000000"/>
              <w:bottom w:val="single" w:sz="8" w:space="0" w:color="000000"/>
              <w:right w:val="nil"/>
            </w:tcBorders>
          </w:tcPr>
          <w:p>
            <w:pPr>
              <w:pStyle w:val="TableParagraph"/>
              <w:spacing w:before="8"/>
              <w:ind w:right="30"/>
              <w:rPr>
                <w:rFonts w:ascii="Verdana"/>
                <w:sz w:val="18"/>
              </w:rPr>
            </w:pPr>
            <w:r>
              <w:rPr>
                <w:rFonts w:ascii="Verdana"/>
                <w:sz w:val="18"/>
              </w:rPr>
              <w:t>47,80%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2"/>
              <w:rPr>
                <w:sz w:val="18"/>
              </w:rPr>
            </w:pPr>
            <w:r>
              <w:rPr>
                <w:sz w:val="18"/>
              </w:rPr>
              <w:t>372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3"/>
              <w:jc w:val="left"/>
              <w:rPr>
                <w:sz w:val="18"/>
              </w:rPr>
            </w:pPr>
            <w:r>
              <w:rPr>
                <w:sz w:val="18"/>
              </w:rPr>
              <w:t>Ostale naknade građanima i kućanstvima iz proračuna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3"/>
              <w:rPr>
                <w:sz w:val="18"/>
              </w:rPr>
            </w:pPr>
            <w:r>
              <w:rPr>
                <w:sz w:val="18"/>
              </w:rPr>
              <w:t>382.420,58</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3"/>
              <w:rPr>
                <w:sz w:val="18"/>
              </w:rPr>
            </w:pPr>
            <w:r>
              <w:rPr>
                <w:sz w:val="18"/>
              </w:rPr>
              <w:t>588.000,00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8"/>
              <w:rPr>
                <w:sz w:val="18"/>
              </w:rPr>
            </w:pPr>
            <w:r>
              <w:rPr>
                <w:sz w:val="18"/>
              </w:rPr>
              <w:t>588.000,00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281.055,56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4"/>
              <w:rPr>
                <w:sz w:val="16"/>
              </w:rPr>
            </w:pPr>
            <w:r>
              <w:rPr>
                <w:sz w:val="16"/>
              </w:rPr>
              <w:t>73,49%</w:t>
            </w:r>
          </w:p>
        </w:tc>
        <w:tc>
          <w:tcPr>
            <w:tcW w:w="1117" w:type="dxa"/>
            <w:tcBorders>
              <w:top w:val="single" w:sz="8" w:space="0" w:color="000000"/>
              <w:left w:val="single" w:sz="2" w:space="0" w:color="000000"/>
              <w:bottom w:val="single" w:sz="8" w:space="0" w:color="000000"/>
              <w:right w:val="nil"/>
            </w:tcBorders>
          </w:tcPr>
          <w:p>
            <w:pPr>
              <w:pStyle w:val="TableParagraph"/>
              <w:ind w:right="27"/>
              <w:rPr>
                <w:sz w:val="16"/>
              </w:rPr>
            </w:pPr>
            <w:r>
              <w:rPr>
                <w:sz w:val="16"/>
              </w:rPr>
              <w:t>47,80%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4"/>
              <w:rPr>
                <w:sz w:val="18"/>
              </w:rPr>
            </w:pPr>
            <w:r>
              <w:rPr>
                <w:sz w:val="18"/>
              </w:rPr>
              <w:t>3721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3"/>
              <w:jc w:val="left"/>
              <w:rPr>
                <w:sz w:val="18"/>
              </w:rPr>
            </w:pPr>
            <w:r>
              <w:rPr>
                <w:sz w:val="18"/>
              </w:rPr>
              <w:t>Naknade građanima i kućanstvima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3"/>
              <w:rPr>
                <w:sz w:val="18"/>
              </w:rPr>
            </w:pPr>
            <w:r>
              <w:rPr>
                <w:sz w:val="18"/>
              </w:rPr>
              <w:t>166.365,41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3"/>
              <w:rPr>
                <w:sz w:val="18"/>
              </w:rPr>
            </w:pPr>
            <w:r>
              <w:rPr>
                <w:sz w:val="18"/>
              </w:rPr>
              <w:t>84.620,00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4"/>
              <w:rPr>
                <w:sz w:val="16"/>
              </w:rPr>
            </w:pPr>
            <w:r>
              <w:rPr>
                <w:sz w:val="16"/>
              </w:rPr>
              <w:t>50,86%</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4"/>
              <w:rPr>
                <w:sz w:val="18"/>
              </w:rPr>
            </w:pPr>
            <w:r>
              <w:rPr>
                <w:sz w:val="18"/>
              </w:rPr>
              <w:t>3722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3"/>
              <w:jc w:val="left"/>
              <w:rPr>
                <w:sz w:val="18"/>
              </w:rPr>
            </w:pPr>
            <w:r>
              <w:rPr>
                <w:sz w:val="18"/>
              </w:rPr>
              <w:t>Naknade građanima i kućanstvima u naravi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3"/>
              <w:rPr>
                <w:sz w:val="18"/>
              </w:rPr>
            </w:pPr>
            <w:r>
              <w:rPr>
                <w:sz w:val="18"/>
              </w:rPr>
              <w:t>216.055,17</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196.435,56</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4"/>
              <w:rPr>
                <w:sz w:val="16"/>
              </w:rPr>
            </w:pPr>
            <w:r>
              <w:rPr>
                <w:sz w:val="16"/>
              </w:rPr>
              <w:t>90,92%</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9"/>
              <w:rPr>
                <w:rFonts w:ascii="Verdana"/>
                <w:sz w:val="18"/>
              </w:rPr>
            </w:pPr>
            <w:r>
              <w:rPr>
                <w:rFonts w:ascii="Verdana"/>
                <w:sz w:val="18"/>
              </w:rPr>
              <w:t>38</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8"/>
              <w:ind w:left="93"/>
              <w:jc w:val="left"/>
              <w:rPr>
                <w:rFonts w:ascii="Verdana"/>
                <w:sz w:val="18"/>
              </w:rPr>
            </w:pPr>
            <w:r>
              <w:rPr>
                <w:rFonts w:ascii="Verdana"/>
                <w:w w:val="105"/>
                <w:sz w:val="18"/>
              </w:rPr>
              <w:t>Ostali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5"/>
              <w:rPr>
                <w:rFonts w:ascii="Verdana"/>
                <w:sz w:val="18"/>
              </w:rPr>
            </w:pPr>
            <w:r>
              <w:rPr>
                <w:rFonts w:ascii="Verdana"/>
                <w:sz w:val="18"/>
              </w:rPr>
              <w:t>263.846,24</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7"/>
              <w:rPr>
                <w:rFonts w:ascii="Verdana"/>
                <w:sz w:val="18"/>
              </w:rPr>
            </w:pPr>
            <w:r>
              <w:rPr>
                <w:rFonts w:ascii="Verdana"/>
                <w:sz w:val="18"/>
              </w:rPr>
              <w:t>1.219.000,00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81"/>
              <w:rPr>
                <w:rFonts w:ascii="Verdana"/>
                <w:sz w:val="18"/>
              </w:rPr>
            </w:pPr>
            <w:r>
              <w:rPr>
                <w:rFonts w:ascii="Verdana"/>
                <w:sz w:val="18"/>
              </w:rPr>
              <w:t>1.219.000,00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8"/>
              <w:ind w:right="66"/>
              <w:rPr>
                <w:rFonts w:ascii="Verdana"/>
                <w:sz w:val="18"/>
              </w:rPr>
            </w:pPr>
            <w:r>
              <w:rPr>
                <w:rFonts w:ascii="Verdana"/>
                <w:sz w:val="18"/>
              </w:rPr>
              <w:t>583.692,35</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8"/>
              <w:ind w:right="32"/>
              <w:rPr>
                <w:rFonts w:ascii="Verdana"/>
                <w:sz w:val="18"/>
              </w:rPr>
            </w:pPr>
            <w:r>
              <w:rPr>
                <w:rFonts w:ascii="Verdana"/>
                <w:sz w:val="18"/>
              </w:rPr>
              <w:t>221,22%</w:t>
            </w:r>
          </w:p>
        </w:tc>
        <w:tc>
          <w:tcPr>
            <w:tcW w:w="1117" w:type="dxa"/>
            <w:tcBorders>
              <w:top w:val="single" w:sz="8" w:space="0" w:color="000000"/>
              <w:left w:val="single" w:sz="2" w:space="0" w:color="000000"/>
              <w:bottom w:val="single" w:sz="8" w:space="0" w:color="000000"/>
              <w:right w:val="nil"/>
            </w:tcBorders>
          </w:tcPr>
          <w:p>
            <w:pPr>
              <w:pStyle w:val="TableParagraph"/>
              <w:spacing w:before="8"/>
              <w:ind w:right="30"/>
              <w:rPr>
                <w:rFonts w:ascii="Verdana"/>
                <w:sz w:val="18"/>
              </w:rPr>
            </w:pPr>
            <w:r>
              <w:rPr>
                <w:rFonts w:ascii="Verdana"/>
                <w:sz w:val="18"/>
              </w:rPr>
              <w:t>47,88%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2"/>
              <w:rPr>
                <w:sz w:val="18"/>
              </w:rPr>
            </w:pPr>
            <w:r>
              <w:rPr>
                <w:sz w:val="18"/>
              </w:rPr>
              <w:t>381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3"/>
              <w:jc w:val="left"/>
              <w:rPr>
                <w:sz w:val="18"/>
              </w:rPr>
            </w:pPr>
            <w:r>
              <w:rPr>
                <w:sz w:val="18"/>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3"/>
              <w:rPr>
                <w:sz w:val="18"/>
              </w:rPr>
            </w:pPr>
            <w:r>
              <w:rPr>
                <w:sz w:val="18"/>
              </w:rPr>
              <w:t>263.846,24</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3"/>
              <w:rPr>
                <w:sz w:val="18"/>
              </w:rPr>
            </w:pPr>
            <w:r>
              <w:rPr>
                <w:sz w:val="18"/>
              </w:rPr>
              <w:t>1.119.000,00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91"/>
              <w:rPr>
                <w:sz w:val="18"/>
              </w:rPr>
            </w:pPr>
            <w:r>
              <w:rPr>
                <w:sz w:val="18"/>
              </w:rPr>
              <w:t>1.119.000,00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7"/>
              <w:rPr>
                <w:sz w:val="18"/>
              </w:rPr>
            </w:pPr>
            <w:r>
              <w:rPr>
                <w:sz w:val="18"/>
              </w:rPr>
              <w:t>583.692,35</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4"/>
              <w:rPr>
                <w:sz w:val="16"/>
              </w:rPr>
            </w:pPr>
            <w:r>
              <w:rPr>
                <w:sz w:val="16"/>
              </w:rPr>
              <w:t>221,22%</w:t>
            </w:r>
          </w:p>
        </w:tc>
        <w:tc>
          <w:tcPr>
            <w:tcW w:w="1117" w:type="dxa"/>
            <w:tcBorders>
              <w:top w:val="single" w:sz="8" w:space="0" w:color="000000"/>
              <w:left w:val="single" w:sz="2" w:space="0" w:color="000000"/>
              <w:bottom w:val="single" w:sz="8" w:space="0" w:color="000000"/>
              <w:right w:val="nil"/>
            </w:tcBorders>
          </w:tcPr>
          <w:p>
            <w:pPr>
              <w:pStyle w:val="TableParagraph"/>
              <w:ind w:right="27"/>
              <w:rPr>
                <w:sz w:val="16"/>
              </w:rPr>
            </w:pPr>
            <w:r>
              <w:rPr>
                <w:sz w:val="16"/>
              </w:rPr>
              <w:t>52,16%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4"/>
              <w:rPr>
                <w:sz w:val="18"/>
              </w:rPr>
            </w:pPr>
            <w:r>
              <w:rPr>
                <w:sz w:val="18"/>
              </w:rPr>
              <w:t>3811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3"/>
              <w:jc w:val="left"/>
              <w:rPr>
                <w:sz w:val="18"/>
              </w:rPr>
            </w:pPr>
            <w:r>
              <w:rPr>
                <w:sz w:val="18"/>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3"/>
              <w:rPr>
                <w:sz w:val="18"/>
              </w:rPr>
            </w:pPr>
            <w:r>
              <w:rPr>
                <w:sz w:val="18"/>
              </w:rPr>
              <w:t>263.846,24</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583.692,35</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4"/>
              <w:rPr>
                <w:sz w:val="16"/>
              </w:rPr>
            </w:pPr>
            <w:r>
              <w:rPr>
                <w:sz w:val="16"/>
              </w:rPr>
              <w:t>221,22%</w:t>
            </w:r>
          </w:p>
        </w:tc>
        <w:tc>
          <w:tcPr>
            <w:tcW w:w="1117"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2"/>
              <w:rPr>
                <w:sz w:val="18"/>
              </w:rPr>
            </w:pPr>
            <w:r>
              <w:rPr>
                <w:sz w:val="18"/>
              </w:rPr>
              <w:t>386</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3"/>
              <w:jc w:val="left"/>
              <w:rPr>
                <w:sz w:val="18"/>
              </w:rPr>
            </w:pPr>
            <w:r>
              <w:rPr>
                <w:sz w:val="18"/>
              </w:rPr>
              <w:t>Kapitalne pomoći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3"/>
              <w:rPr>
                <w:sz w:val="18"/>
              </w:rPr>
            </w:pPr>
            <w:r>
              <w:rPr>
                <w:sz w:val="18"/>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3"/>
              <w:rPr>
                <w:sz w:val="18"/>
              </w:rPr>
            </w:pPr>
            <w:r>
              <w:rPr>
                <w:sz w:val="18"/>
              </w:rPr>
              <w:t>100.000,00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8"/>
              <w:rPr>
                <w:sz w:val="18"/>
              </w:rPr>
            </w:pPr>
            <w:r>
              <w:rPr>
                <w:sz w:val="18"/>
              </w:rPr>
              <w:t>100.000,00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66"/>
              <w:rPr>
                <w:sz w:val="18"/>
              </w:rPr>
            </w:pPr>
            <w:r>
              <w:rPr>
                <w:sz w:val="18"/>
              </w:rPr>
              <w:t>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117" w:type="dxa"/>
            <w:tcBorders>
              <w:top w:val="single" w:sz="8" w:space="0" w:color="000000"/>
              <w:left w:val="single" w:sz="2" w:space="0" w:color="000000"/>
              <w:bottom w:val="single" w:sz="8" w:space="0" w:color="000000"/>
              <w:right w:val="nil"/>
            </w:tcBorders>
          </w:tcPr>
          <w:p>
            <w:pPr>
              <w:pStyle w:val="TableParagraph"/>
              <w:ind w:right="28"/>
              <w:rPr>
                <w:sz w:val="16"/>
              </w:rPr>
            </w:pPr>
            <w:r>
              <w:rPr>
                <w:sz w:val="16"/>
              </w:rPr>
              <w:t>0,00%</w:t>
            </w:r>
          </w:p>
        </w:tc>
      </w:tr>
      <w:tr>
        <w:trPr>
          <w:trHeight w:val="484" w:hRule="atLeast"/>
        </w:trPr>
        <w:tc>
          <w:tcPr>
            <w:tcW w:w="734" w:type="dxa"/>
            <w:tcBorders>
              <w:top w:val="single" w:sz="8" w:space="0" w:color="000000"/>
              <w:left w:val="nil"/>
              <w:right w:val="single" w:sz="2" w:space="0" w:color="000000"/>
            </w:tcBorders>
          </w:tcPr>
          <w:p>
            <w:pPr>
              <w:pStyle w:val="TableParagraph"/>
              <w:spacing w:before="9"/>
              <w:ind w:right="14"/>
              <w:rPr>
                <w:sz w:val="18"/>
              </w:rPr>
            </w:pPr>
            <w:r>
              <w:rPr>
                <w:sz w:val="18"/>
              </w:rPr>
              <w:t>3861</w:t>
            </w:r>
          </w:p>
        </w:tc>
        <w:tc>
          <w:tcPr>
            <w:tcW w:w="399"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right w:val="single" w:sz="2" w:space="0" w:color="000000"/>
            </w:tcBorders>
          </w:tcPr>
          <w:p>
            <w:pPr>
              <w:pStyle w:val="TableParagraph"/>
              <w:spacing w:before="9"/>
              <w:ind w:left="93"/>
              <w:jc w:val="left"/>
              <w:rPr>
                <w:sz w:val="18"/>
              </w:rPr>
            </w:pPr>
            <w:r>
              <w:rPr>
                <w:sz w:val="18"/>
              </w:rPr>
              <w:t>Kapitalne pomoći bankama i ostalim financijskim institucijama i trgovačkim društvima u javnom sektoru</w:t>
            </w:r>
          </w:p>
        </w:tc>
        <w:tc>
          <w:tcPr>
            <w:tcW w:w="1833" w:type="dxa"/>
            <w:tcBorders>
              <w:top w:val="single" w:sz="8" w:space="0" w:color="000000"/>
              <w:left w:val="single" w:sz="2" w:space="0" w:color="000000"/>
              <w:right w:val="single" w:sz="2" w:space="0" w:color="000000"/>
            </w:tcBorders>
          </w:tcPr>
          <w:p>
            <w:pPr>
              <w:pStyle w:val="TableParagraph"/>
              <w:spacing w:before="9"/>
              <w:ind w:right="73"/>
              <w:rPr>
                <w:sz w:val="18"/>
              </w:rPr>
            </w:pPr>
            <w:r>
              <w:rPr>
                <w:sz w:val="18"/>
              </w:rPr>
              <w:t>0,00</w:t>
            </w:r>
          </w:p>
        </w:tc>
        <w:tc>
          <w:tcPr>
            <w:tcW w:w="1831"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right w:val="single" w:sz="2" w:space="0" w:color="000000"/>
            </w:tcBorders>
          </w:tcPr>
          <w:p>
            <w:pPr>
              <w:pStyle w:val="TableParagraph"/>
              <w:spacing w:before="9"/>
              <w:ind w:right="65"/>
              <w:rPr>
                <w:sz w:val="18"/>
              </w:rPr>
            </w:pPr>
            <w:r>
              <w:rPr>
                <w:sz w:val="18"/>
              </w:rPr>
              <w:t>0,00</w:t>
            </w:r>
          </w:p>
        </w:tc>
        <w:tc>
          <w:tcPr>
            <w:tcW w:w="1116"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1117" w:type="dxa"/>
            <w:tcBorders>
              <w:top w:val="single" w:sz="8" w:space="0" w:color="000000"/>
              <w:left w:val="single" w:sz="2" w:space="0" w:color="000000"/>
              <w:right w:val="nil"/>
            </w:tcBorders>
          </w:tcPr>
          <w:p>
            <w:pPr>
              <w:pStyle w:val="TableParagraph"/>
              <w:spacing w:before="0"/>
              <w:jc w:val="left"/>
              <w:rPr>
                <w:rFonts w:ascii="Times New Roman"/>
                <w:sz w:val="18"/>
              </w:rPr>
            </w:pPr>
          </w:p>
        </w:tc>
      </w:tr>
    </w:tbl>
    <w:p>
      <w:pPr>
        <w:pStyle w:val="BodyText"/>
        <w:rPr>
          <w:sz w:val="20"/>
        </w:rPr>
      </w:pPr>
    </w:p>
    <w:p>
      <w:pPr>
        <w:pStyle w:val="BodyText"/>
        <w:rPr>
          <w:sz w:val="18"/>
        </w:rPr>
      </w:pPr>
    </w:p>
    <w:tbl>
      <w:tblPr>
        <w:tblW w:w="0" w:type="auto"/>
        <w:jc w:val="left"/>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400"/>
        <w:gridCol w:w="4672"/>
        <w:gridCol w:w="1830"/>
        <w:gridCol w:w="1830"/>
        <w:gridCol w:w="1830"/>
        <w:gridCol w:w="1830"/>
        <w:gridCol w:w="1115"/>
        <w:gridCol w:w="1117"/>
      </w:tblGrid>
      <w:tr>
        <w:trPr>
          <w:trHeight w:val="265" w:hRule="atLeast"/>
        </w:trPr>
        <w:tc>
          <w:tcPr>
            <w:tcW w:w="734" w:type="dxa"/>
            <w:tcBorders>
              <w:left w:val="nil"/>
              <w:right w:val="single" w:sz="2" w:space="0" w:color="000000"/>
            </w:tcBorders>
          </w:tcPr>
          <w:p>
            <w:pPr>
              <w:pStyle w:val="TableParagraph"/>
              <w:spacing w:line="238" w:lineRule="exact" w:before="7"/>
              <w:ind w:right="7"/>
              <w:rPr>
                <w:rFonts w:ascii="Verdana"/>
                <w:sz w:val="20"/>
              </w:rPr>
            </w:pPr>
            <w:r>
              <w:rPr>
                <w:rFonts w:ascii="Verdana"/>
                <w:w w:val="100"/>
                <w:sz w:val="20"/>
              </w:rPr>
              <w:t>4</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line="238" w:lineRule="exact" w:before="7"/>
              <w:ind w:left="94"/>
              <w:jc w:val="left"/>
              <w:rPr>
                <w:rFonts w:ascii="Verdana"/>
                <w:sz w:val="20"/>
              </w:rPr>
            </w:pPr>
            <w:r>
              <w:rPr>
                <w:rFonts w:ascii="Verdana"/>
                <w:sz w:val="20"/>
              </w:rPr>
              <w:t>Rashodi za nabavu nefinancijske imovine</w:t>
            </w:r>
          </w:p>
        </w:tc>
        <w:tc>
          <w:tcPr>
            <w:tcW w:w="1830" w:type="dxa"/>
            <w:tcBorders>
              <w:left w:val="single" w:sz="2" w:space="0" w:color="000000"/>
              <w:right w:val="single" w:sz="2" w:space="0" w:color="000000"/>
            </w:tcBorders>
          </w:tcPr>
          <w:p>
            <w:pPr>
              <w:pStyle w:val="TableParagraph"/>
              <w:spacing w:line="238" w:lineRule="exact" w:before="7"/>
              <w:ind w:right="73"/>
              <w:rPr>
                <w:rFonts w:ascii="Verdana"/>
                <w:sz w:val="20"/>
              </w:rPr>
            </w:pPr>
            <w:r>
              <w:rPr>
                <w:rFonts w:ascii="Verdana"/>
                <w:sz w:val="20"/>
              </w:rPr>
              <w:t>907.068,07</w:t>
            </w:r>
          </w:p>
        </w:tc>
        <w:tc>
          <w:tcPr>
            <w:tcW w:w="1830" w:type="dxa"/>
            <w:tcBorders>
              <w:left w:val="single" w:sz="2" w:space="0" w:color="000000"/>
              <w:right w:val="single" w:sz="2" w:space="0" w:color="000000"/>
            </w:tcBorders>
          </w:tcPr>
          <w:p>
            <w:pPr>
              <w:pStyle w:val="TableParagraph"/>
              <w:spacing w:line="238" w:lineRule="exact" w:before="7"/>
              <w:ind w:right="62"/>
              <w:rPr>
                <w:rFonts w:ascii="Verdana"/>
                <w:sz w:val="20"/>
              </w:rPr>
            </w:pPr>
            <w:r>
              <w:rPr>
                <w:rFonts w:ascii="Verdana"/>
                <w:sz w:val="20"/>
              </w:rPr>
              <w:t>7.915.000,00</w:t>
            </w:r>
          </w:p>
        </w:tc>
        <w:tc>
          <w:tcPr>
            <w:tcW w:w="1830" w:type="dxa"/>
            <w:tcBorders>
              <w:left w:val="single" w:sz="2" w:space="0" w:color="000000"/>
              <w:right w:val="single" w:sz="2" w:space="0" w:color="000000"/>
            </w:tcBorders>
          </w:tcPr>
          <w:p>
            <w:pPr>
              <w:pStyle w:val="TableParagraph"/>
              <w:spacing w:line="238" w:lineRule="exact" w:before="7"/>
              <w:ind w:right="77"/>
              <w:rPr>
                <w:rFonts w:ascii="Verdana"/>
                <w:sz w:val="20"/>
              </w:rPr>
            </w:pPr>
            <w:r>
              <w:rPr>
                <w:rFonts w:ascii="Verdana"/>
                <w:sz w:val="20"/>
              </w:rPr>
              <w:t>7.915.000,00</w:t>
            </w:r>
          </w:p>
        </w:tc>
        <w:tc>
          <w:tcPr>
            <w:tcW w:w="1830" w:type="dxa"/>
            <w:tcBorders>
              <w:left w:val="single" w:sz="2" w:space="0" w:color="000000"/>
              <w:right w:val="single" w:sz="2" w:space="0" w:color="000000"/>
            </w:tcBorders>
          </w:tcPr>
          <w:p>
            <w:pPr>
              <w:pStyle w:val="TableParagraph"/>
              <w:spacing w:line="238" w:lineRule="exact" w:before="7"/>
              <w:ind w:right="61"/>
              <w:rPr>
                <w:rFonts w:ascii="Verdana"/>
                <w:sz w:val="20"/>
              </w:rPr>
            </w:pPr>
            <w:r>
              <w:rPr>
                <w:rFonts w:ascii="Verdana"/>
                <w:sz w:val="20"/>
              </w:rPr>
              <w:t>931.851,69</w:t>
            </w:r>
          </w:p>
        </w:tc>
        <w:tc>
          <w:tcPr>
            <w:tcW w:w="1115" w:type="dxa"/>
            <w:tcBorders>
              <w:left w:val="single" w:sz="2" w:space="0" w:color="000000"/>
              <w:right w:val="single" w:sz="2" w:space="0" w:color="000000"/>
            </w:tcBorders>
          </w:tcPr>
          <w:p>
            <w:pPr>
              <w:pStyle w:val="TableParagraph"/>
              <w:spacing w:line="238" w:lineRule="exact" w:before="7"/>
              <w:ind w:right="24"/>
              <w:rPr>
                <w:rFonts w:ascii="Verdana"/>
                <w:sz w:val="20"/>
              </w:rPr>
            </w:pPr>
            <w:r>
              <w:rPr>
                <w:rFonts w:ascii="Verdana"/>
                <w:sz w:val="20"/>
              </w:rPr>
              <w:t>102,73%</w:t>
            </w:r>
          </w:p>
        </w:tc>
        <w:tc>
          <w:tcPr>
            <w:tcW w:w="1117" w:type="dxa"/>
            <w:tcBorders>
              <w:left w:val="single" w:sz="2" w:space="0" w:color="000000"/>
              <w:right w:val="nil"/>
            </w:tcBorders>
          </w:tcPr>
          <w:p>
            <w:pPr>
              <w:pStyle w:val="TableParagraph"/>
              <w:spacing w:line="238" w:lineRule="exact" w:before="7"/>
              <w:ind w:right="25"/>
              <w:rPr>
                <w:rFonts w:ascii="Verdana"/>
                <w:sz w:val="20"/>
              </w:rPr>
            </w:pPr>
            <w:r>
              <w:rPr>
                <w:rFonts w:ascii="Verdana"/>
                <w:sz w:val="20"/>
              </w:rPr>
              <w:t>11,77%</w:t>
            </w:r>
          </w:p>
        </w:tc>
      </w:tr>
      <w:tr>
        <w:trPr>
          <w:trHeight w:val="265" w:hRule="atLeast"/>
        </w:trPr>
        <w:tc>
          <w:tcPr>
            <w:tcW w:w="734" w:type="dxa"/>
            <w:tcBorders>
              <w:left w:val="nil"/>
              <w:right w:val="single" w:sz="2" w:space="0" w:color="000000"/>
            </w:tcBorders>
          </w:tcPr>
          <w:p>
            <w:pPr>
              <w:pStyle w:val="TableParagraph"/>
              <w:spacing w:before="8"/>
              <w:ind w:right="6"/>
              <w:rPr>
                <w:rFonts w:ascii="Verdana"/>
                <w:sz w:val="18"/>
              </w:rPr>
            </w:pPr>
            <w:r>
              <w:rPr>
                <w:rFonts w:ascii="Verdana"/>
                <w:sz w:val="18"/>
              </w:rPr>
              <w:t>41</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8"/>
              <w:ind w:left="94"/>
              <w:jc w:val="left"/>
              <w:rPr>
                <w:rFonts w:ascii="Verdana"/>
                <w:sz w:val="18"/>
              </w:rPr>
            </w:pPr>
            <w:r>
              <w:rPr>
                <w:rFonts w:ascii="Verdana"/>
                <w:sz w:val="18"/>
              </w:rPr>
              <w:t>Rashodi za nabavu neproizvedene imovine</w:t>
            </w:r>
          </w:p>
        </w:tc>
        <w:tc>
          <w:tcPr>
            <w:tcW w:w="1830" w:type="dxa"/>
            <w:tcBorders>
              <w:left w:val="single" w:sz="2" w:space="0" w:color="000000"/>
              <w:right w:val="single" w:sz="2" w:space="0" w:color="000000"/>
            </w:tcBorders>
          </w:tcPr>
          <w:p>
            <w:pPr>
              <w:pStyle w:val="TableParagraph"/>
              <w:spacing w:before="8"/>
              <w:ind w:right="66"/>
              <w:rPr>
                <w:rFonts w:ascii="Verdana"/>
                <w:sz w:val="18"/>
              </w:rPr>
            </w:pPr>
            <w:r>
              <w:rPr>
                <w:rFonts w:ascii="Verdana"/>
                <w:sz w:val="18"/>
              </w:rPr>
              <w:t>0,00</w:t>
            </w:r>
          </w:p>
        </w:tc>
        <w:tc>
          <w:tcPr>
            <w:tcW w:w="1830" w:type="dxa"/>
            <w:tcBorders>
              <w:left w:val="single" w:sz="2" w:space="0" w:color="000000"/>
              <w:right w:val="single" w:sz="2" w:space="0" w:color="000000"/>
            </w:tcBorders>
          </w:tcPr>
          <w:p>
            <w:pPr>
              <w:pStyle w:val="TableParagraph"/>
              <w:spacing w:before="8"/>
              <w:ind w:right="60"/>
              <w:rPr>
                <w:rFonts w:ascii="Verdana"/>
                <w:sz w:val="18"/>
              </w:rPr>
            </w:pPr>
            <w:r>
              <w:rPr>
                <w:rFonts w:ascii="Verdana"/>
                <w:sz w:val="18"/>
              </w:rPr>
              <w:t>384.000,00</w:t>
            </w:r>
          </w:p>
        </w:tc>
        <w:tc>
          <w:tcPr>
            <w:tcW w:w="1830" w:type="dxa"/>
            <w:tcBorders>
              <w:left w:val="single" w:sz="2" w:space="0" w:color="000000"/>
              <w:right w:val="single" w:sz="2" w:space="0" w:color="000000"/>
            </w:tcBorders>
          </w:tcPr>
          <w:p>
            <w:pPr>
              <w:pStyle w:val="TableParagraph"/>
              <w:spacing w:before="8"/>
              <w:ind w:right="75"/>
              <w:rPr>
                <w:rFonts w:ascii="Verdana"/>
                <w:sz w:val="18"/>
              </w:rPr>
            </w:pPr>
            <w:r>
              <w:rPr>
                <w:rFonts w:ascii="Verdana"/>
                <w:sz w:val="18"/>
              </w:rPr>
              <w:t>384.000,00</w:t>
            </w:r>
          </w:p>
        </w:tc>
        <w:tc>
          <w:tcPr>
            <w:tcW w:w="1830" w:type="dxa"/>
            <w:tcBorders>
              <w:left w:val="single" w:sz="2" w:space="0" w:color="000000"/>
              <w:right w:val="single" w:sz="2" w:space="0" w:color="000000"/>
            </w:tcBorders>
          </w:tcPr>
          <w:p>
            <w:pPr>
              <w:pStyle w:val="TableParagraph"/>
              <w:spacing w:before="8"/>
              <w:ind w:right="59"/>
              <w:rPr>
                <w:rFonts w:ascii="Verdana"/>
                <w:sz w:val="18"/>
              </w:rPr>
            </w:pPr>
            <w:r>
              <w:rPr>
                <w:rFonts w:ascii="Verdana"/>
                <w:sz w:val="18"/>
              </w:rPr>
              <w:t>233.174,00</w:t>
            </w:r>
          </w:p>
        </w:tc>
        <w:tc>
          <w:tcPr>
            <w:tcW w:w="1115" w:type="dxa"/>
            <w:tcBorders>
              <w:left w:val="single" w:sz="2" w:space="0" w:color="000000"/>
              <w:right w:val="single" w:sz="2" w:space="0" w:color="000000"/>
            </w:tcBorders>
          </w:tcPr>
          <w:p>
            <w:pPr>
              <w:pStyle w:val="TableParagraph"/>
              <w:spacing w:before="0"/>
              <w:jc w:val="left"/>
              <w:rPr>
                <w:rFonts w:ascii="Times New Roman"/>
                <w:sz w:val="18"/>
              </w:rPr>
            </w:pPr>
          </w:p>
        </w:tc>
        <w:tc>
          <w:tcPr>
            <w:tcW w:w="1117" w:type="dxa"/>
            <w:tcBorders>
              <w:left w:val="single" w:sz="2" w:space="0" w:color="000000"/>
              <w:right w:val="nil"/>
            </w:tcBorders>
          </w:tcPr>
          <w:p>
            <w:pPr>
              <w:pStyle w:val="TableParagraph"/>
              <w:spacing w:before="8"/>
              <w:ind w:right="22"/>
              <w:rPr>
                <w:rFonts w:ascii="Verdana"/>
                <w:sz w:val="18"/>
              </w:rPr>
            </w:pPr>
            <w:r>
              <w:rPr>
                <w:rFonts w:ascii="Verdana"/>
                <w:sz w:val="18"/>
              </w:rPr>
              <w:t>60,72%</w:t>
            </w:r>
          </w:p>
        </w:tc>
      </w:tr>
      <w:tr>
        <w:trPr>
          <w:trHeight w:val="265" w:hRule="atLeast"/>
        </w:trPr>
        <w:tc>
          <w:tcPr>
            <w:tcW w:w="734" w:type="dxa"/>
            <w:tcBorders>
              <w:left w:val="nil"/>
              <w:right w:val="single" w:sz="2" w:space="0" w:color="000000"/>
            </w:tcBorders>
          </w:tcPr>
          <w:p>
            <w:pPr>
              <w:pStyle w:val="TableParagraph"/>
              <w:spacing w:before="9"/>
              <w:ind w:right="9"/>
              <w:rPr>
                <w:sz w:val="18"/>
              </w:rPr>
            </w:pPr>
            <w:r>
              <w:rPr>
                <w:sz w:val="18"/>
              </w:rPr>
              <w:t>411</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Materijalna imovina - prirodna bogatstva</w:t>
            </w:r>
          </w:p>
        </w:tc>
        <w:tc>
          <w:tcPr>
            <w:tcW w:w="1830" w:type="dxa"/>
            <w:tcBorders>
              <w:left w:val="single" w:sz="2" w:space="0" w:color="000000"/>
              <w:right w:val="single" w:sz="2" w:space="0" w:color="000000"/>
            </w:tcBorders>
          </w:tcPr>
          <w:p>
            <w:pPr>
              <w:pStyle w:val="TableParagraph"/>
              <w:spacing w:before="9"/>
              <w:ind w:right="69"/>
              <w:rPr>
                <w:sz w:val="18"/>
              </w:rPr>
            </w:pPr>
            <w:r>
              <w:rPr>
                <w:sz w:val="18"/>
              </w:rPr>
              <w:t>0,00</w:t>
            </w:r>
          </w:p>
        </w:tc>
        <w:tc>
          <w:tcPr>
            <w:tcW w:w="1830" w:type="dxa"/>
            <w:tcBorders>
              <w:left w:val="single" w:sz="2" w:space="0" w:color="000000"/>
              <w:right w:val="single" w:sz="2" w:space="0" w:color="000000"/>
            </w:tcBorders>
          </w:tcPr>
          <w:p>
            <w:pPr>
              <w:pStyle w:val="TableParagraph"/>
              <w:spacing w:before="9"/>
              <w:ind w:right="68"/>
              <w:rPr>
                <w:sz w:val="18"/>
              </w:rPr>
            </w:pPr>
            <w:r>
              <w:rPr>
                <w:sz w:val="18"/>
              </w:rPr>
              <w:t>234.000,00</w:t>
            </w:r>
          </w:p>
        </w:tc>
        <w:tc>
          <w:tcPr>
            <w:tcW w:w="1830" w:type="dxa"/>
            <w:tcBorders>
              <w:left w:val="single" w:sz="2" w:space="0" w:color="000000"/>
              <w:right w:val="single" w:sz="2" w:space="0" w:color="000000"/>
            </w:tcBorders>
          </w:tcPr>
          <w:p>
            <w:pPr>
              <w:pStyle w:val="TableParagraph"/>
              <w:spacing w:before="9"/>
              <w:ind w:right="82"/>
              <w:rPr>
                <w:sz w:val="18"/>
              </w:rPr>
            </w:pPr>
            <w:r>
              <w:rPr>
                <w:sz w:val="18"/>
              </w:rPr>
              <w:t>234.000,00</w:t>
            </w:r>
          </w:p>
        </w:tc>
        <w:tc>
          <w:tcPr>
            <w:tcW w:w="1830" w:type="dxa"/>
            <w:tcBorders>
              <w:left w:val="single" w:sz="2" w:space="0" w:color="000000"/>
              <w:right w:val="single" w:sz="2" w:space="0" w:color="000000"/>
            </w:tcBorders>
          </w:tcPr>
          <w:p>
            <w:pPr>
              <w:pStyle w:val="TableParagraph"/>
              <w:spacing w:before="9"/>
              <w:ind w:right="69"/>
              <w:rPr>
                <w:sz w:val="18"/>
              </w:rPr>
            </w:pPr>
            <w:r>
              <w:rPr>
                <w:sz w:val="18"/>
              </w:rPr>
              <w:t>198.159,00</w:t>
            </w:r>
          </w:p>
        </w:tc>
        <w:tc>
          <w:tcPr>
            <w:tcW w:w="1115" w:type="dxa"/>
            <w:tcBorders>
              <w:left w:val="single" w:sz="2" w:space="0" w:color="000000"/>
              <w:right w:val="single" w:sz="2" w:space="0" w:color="000000"/>
            </w:tcBorders>
          </w:tcPr>
          <w:p>
            <w:pPr>
              <w:pStyle w:val="TableParagraph"/>
              <w:spacing w:before="0"/>
              <w:jc w:val="left"/>
              <w:rPr>
                <w:rFonts w:ascii="Times New Roman"/>
                <w:sz w:val="18"/>
              </w:rPr>
            </w:pPr>
          </w:p>
        </w:tc>
        <w:tc>
          <w:tcPr>
            <w:tcW w:w="1117" w:type="dxa"/>
            <w:tcBorders>
              <w:left w:val="single" w:sz="2" w:space="0" w:color="000000"/>
              <w:right w:val="nil"/>
            </w:tcBorders>
          </w:tcPr>
          <w:p>
            <w:pPr>
              <w:pStyle w:val="TableParagraph"/>
              <w:ind w:right="19"/>
              <w:rPr>
                <w:sz w:val="16"/>
              </w:rPr>
            </w:pPr>
            <w:r>
              <w:rPr>
                <w:sz w:val="16"/>
              </w:rPr>
              <w:t>84,68%</w:t>
            </w:r>
          </w:p>
        </w:tc>
      </w:tr>
      <w:tr>
        <w:trPr>
          <w:trHeight w:val="265" w:hRule="atLeast"/>
        </w:trPr>
        <w:tc>
          <w:tcPr>
            <w:tcW w:w="734" w:type="dxa"/>
            <w:tcBorders>
              <w:left w:val="nil"/>
              <w:right w:val="single" w:sz="2" w:space="0" w:color="000000"/>
            </w:tcBorders>
          </w:tcPr>
          <w:p>
            <w:pPr>
              <w:pStyle w:val="TableParagraph"/>
              <w:spacing w:before="9"/>
              <w:ind w:right="12"/>
              <w:rPr>
                <w:sz w:val="18"/>
              </w:rPr>
            </w:pPr>
            <w:r>
              <w:rPr>
                <w:sz w:val="18"/>
              </w:rPr>
              <w:t>4111</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Zemljište</w:t>
            </w:r>
          </w:p>
        </w:tc>
        <w:tc>
          <w:tcPr>
            <w:tcW w:w="1830" w:type="dxa"/>
            <w:tcBorders>
              <w:left w:val="single" w:sz="2" w:space="0" w:color="000000"/>
              <w:right w:val="single" w:sz="2" w:space="0" w:color="000000"/>
            </w:tcBorders>
          </w:tcPr>
          <w:p>
            <w:pPr>
              <w:pStyle w:val="TableParagraph"/>
              <w:spacing w:before="9"/>
              <w:ind w:right="69"/>
              <w:rPr>
                <w:sz w:val="18"/>
              </w:rPr>
            </w:pPr>
            <w:r>
              <w:rPr>
                <w:sz w:val="18"/>
              </w:rPr>
              <w:t>0,00</w:t>
            </w: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9"/>
              <w:ind w:right="68"/>
              <w:rPr>
                <w:sz w:val="18"/>
              </w:rPr>
            </w:pPr>
            <w:r>
              <w:rPr>
                <w:sz w:val="18"/>
              </w:rPr>
              <w:t>198.159,00</w:t>
            </w:r>
          </w:p>
        </w:tc>
        <w:tc>
          <w:tcPr>
            <w:tcW w:w="1115" w:type="dxa"/>
            <w:tcBorders>
              <w:left w:val="single" w:sz="2" w:space="0" w:color="000000"/>
              <w:right w:val="single" w:sz="2" w:space="0" w:color="000000"/>
            </w:tcBorders>
          </w:tcPr>
          <w:p>
            <w:pPr>
              <w:pStyle w:val="TableParagraph"/>
              <w:spacing w:before="0"/>
              <w:jc w:val="left"/>
              <w:rPr>
                <w:rFonts w:ascii="Times New Roman"/>
                <w:sz w:val="18"/>
              </w:rPr>
            </w:pPr>
          </w:p>
        </w:tc>
        <w:tc>
          <w:tcPr>
            <w:tcW w:w="1117" w:type="dxa"/>
            <w:tcBorders>
              <w:left w:val="single" w:sz="2" w:space="0" w:color="000000"/>
              <w:right w:val="nil"/>
            </w:tcBorders>
          </w:tcPr>
          <w:p>
            <w:pPr>
              <w:pStyle w:val="TableParagraph"/>
              <w:spacing w:before="0"/>
              <w:jc w:val="left"/>
              <w:rPr>
                <w:rFonts w:ascii="Times New Roman"/>
                <w:sz w:val="18"/>
              </w:rPr>
            </w:pPr>
          </w:p>
        </w:tc>
      </w:tr>
      <w:tr>
        <w:trPr>
          <w:trHeight w:val="265" w:hRule="atLeast"/>
        </w:trPr>
        <w:tc>
          <w:tcPr>
            <w:tcW w:w="734" w:type="dxa"/>
            <w:tcBorders>
              <w:left w:val="nil"/>
              <w:right w:val="single" w:sz="2" w:space="0" w:color="000000"/>
            </w:tcBorders>
          </w:tcPr>
          <w:p>
            <w:pPr>
              <w:pStyle w:val="TableParagraph"/>
              <w:spacing w:before="9"/>
              <w:ind w:right="9"/>
              <w:rPr>
                <w:sz w:val="18"/>
              </w:rPr>
            </w:pPr>
            <w:r>
              <w:rPr>
                <w:sz w:val="18"/>
              </w:rPr>
              <w:t>412</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Nematerijalna imovina</w:t>
            </w:r>
          </w:p>
        </w:tc>
        <w:tc>
          <w:tcPr>
            <w:tcW w:w="1830" w:type="dxa"/>
            <w:tcBorders>
              <w:left w:val="single" w:sz="2" w:space="0" w:color="000000"/>
              <w:right w:val="single" w:sz="2" w:space="0" w:color="000000"/>
            </w:tcBorders>
          </w:tcPr>
          <w:p>
            <w:pPr>
              <w:pStyle w:val="TableParagraph"/>
              <w:spacing w:before="9"/>
              <w:ind w:right="69"/>
              <w:rPr>
                <w:sz w:val="18"/>
              </w:rPr>
            </w:pPr>
            <w:r>
              <w:rPr>
                <w:sz w:val="18"/>
              </w:rPr>
              <w:t>0,00</w:t>
            </w:r>
          </w:p>
        </w:tc>
        <w:tc>
          <w:tcPr>
            <w:tcW w:w="1830" w:type="dxa"/>
            <w:tcBorders>
              <w:left w:val="single" w:sz="2" w:space="0" w:color="000000"/>
              <w:right w:val="single" w:sz="2" w:space="0" w:color="000000"/>
            </w:tcBorders>
          </w:tcPr>
          <w:p>
            <w:pPr>
              <w:pStyle w:val="TableParagraph"/>
              <w:spacing w:before="9"/>
              <w:ind w:right="68"/>
              <w:rPr>
                <w:sz w:val="18"/>
              </w:rPr>
            </w:pPr>
            <w:r>
              <w:rPr>
                <w:sz w:val="18"/>
              </w:rPr>
              <w:t>150.000,00</w:t>
            </w:r>
          </w:p>
        </w:tc>
        <w:tc>
          <w:tcPr>
            <w:tcW w:w="1830" w:type="dxa"/>
            <w:tcBorders>
              <w:left w:val="single" w:sz="2" w:space="0" w:color="000000"/>
              <w:right w:val="single" w:sz="2" w:space="0" w:color="000000"/>
            </w:tcBorders>
          </w:tcPr>
          <w:p>
            <w:pPr>
              <w:pStyle w:val="TableParagraph"/>
              <w:spacing w:before="9"/>
              <w:ind w:right="82"/>
              <w:rPr>
                <w:sz w:val="18"/>
              </w:rPr>
            </w:pPr>
            <w:r>
              <w:rPr>
                <w:sz w:val="18"/>
              </w:rPr>
              <w:t>150.000,00</w:t>
            </w:r>
          </w:p>
        </w:tc>
        <w:tc>
          <w:tcPr>
            <w:tcW w:w="1830" w:type="dxa"/>
            <w:tcBorders>
              <w:left w:val="single" w:sz="2" w:space="0" w:color="000000"/>
              <w:right w:val="single" w:sz="2" w:space="0" w:color="000000"/>
            </w:tcBorders>
          </w:tcPr>
          <w:p>
            <w:pPr>
              <w:pStyle w:val="TableParagraph"/>
              <w:spacing w:before="9"/>
              <w:ind w:right="67"/>
              <w:rPr>
                <w:sz w:val="18"/>
              </w:rPr>
            </w:pPr>
            <w:r>
              <w:rPr>
                <w:sz w:val="18"/>
              </w:rPr>
              <w:t>35.015,00</w:t>
            </w:r>
          </w:p>
        </w:tc>
        <w:tc>
          <w:tcPr>
            <w:tcW w:w="1115" w:type="dxa"/>
            <w:tcBorders>
              <w:left w:val="single" w:sz="2" w:space="0" w:color="000000"/>
              <w:right w:val="single" w:sz="2" w:space="0" w:color="000000"/>
            </w:tcBorders>
          </w:tcPr>
          <w:p>
            <w:pPr>
              <w:pStyle w:val="TableParagraph"/>
              <w:spacing w:before="0"/>
              <w:jc w:val="left"/>
              <w:rPr>
                <w:rFonts w:ascii="Times New Roman"/>
                <w:sz w:val="18"/>
              </w:rPr>
            </w:pPr>
          </w:p>
        </w:tc>
        <w:tc>
          <w:tcPr>
            <w:tcW w:w="1117" w:type="dxa"/>
            <w:tcBorders>
              <w:left w:val="single" w:sz="2" w:space="0" w:color="000000"/>
              <w:right w:val="nil"/>
            </w:tcBorders>
          </w:tcPr>
          <w:p>
            <w:pPr>
              <w:pStyle w:val="TableParagraph"/>
              <w:ind w:right="19"/>
              <w:rPr>
                <w:sz w:val="16"/>
              </w:rPr>
            </w:pPr>
            <w:r>
              <w:rPr>
                <w:sz w:val="16"/>
              </w:rPr>
              <w:t>23,34%</w:t>
            </w:r>
          </w:p>
        </w:tc>
      </w:tr>
      <w:tr>
        <w:trPr>
          <w:trHeight w:val="267" w:hRule="atLeast"/>
        </w:trPr>
        <w:tc>
          <w:tcPr>
            <w:tcW w:w="734" w:type="dxa"/>
            <w:tcBorders>
              <w:left w:val="nil"/>
              <w:right w:val="single" w:sz="2" w:space="0" w:color="000000"/>
            </w:tcBorders>
          </w:tcPr>
          <w:p>
            <w:pPr>
              <w:pStyle w:val="TableParagraph"/>
              <w:spacing w:before="9"/>
              <w:ind w:right="12"/>
              <w:rPr>
                <w:sz w:val="18"/>
              </w:rPr>
            </w:pPr>
            <w:r>
              <w:rPr>
                <w:sz w:val="18"/>
              </w:rPr>
              <w:t>4124</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Ostala prava</w:t>
            </w:r>
          </w:p>
        </w:tc>
        <w:tc>
          <w:tcPr>
            <w:tcW w:w="1830" w:type="dxa"/>
            <w:tcBorders>
              <w:left w:val="single" w:sz="2" w:space="0" w:color="000000"/>
              <w:right w:val="single" w:sz="2" w:space="0" w:color="000000"/>
            </w:tcBorders>
          </w:tcPr>
          <w:p>
            <w:pPr>
              <w:pStyle w:val="TableParagraph"/>
              <w:spacing w:before="9"/>
              <w:ind w:right="69"/>
              <w:rPr>
                <w:sz w:val="18"/>
              </w:rPr>
            </w:pPr>
            <w:r>
              <w:rPr>
                <w:sz w:val="18"/>
              </w:rPr>
              <w:t>0,00</w:t>
            </w: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9"/>
              <w:ind w:right="66"/>
              <w:rPr>
                <w:sz w:val="18"/>
              </w:rPr>
            </w:pPr>
            <w:r>
              <w:rPr>
                <w:sz w:val="18"/>
              </w:rPr>
              <w:t>35.015,00</w:t>
            </w:r>
          </w:p>
        </w:tc>
        <w:tc>
          <w:tcPr>
            <w:tcW w:w="1115" w:type="dxa"/>
            <w:tcBorders>
              <w:left w:val="single" w:sz="2" w:space="0" w:color="000000"/>
              <w:right w:val="single" w:sz="2" w:space="0" w:color="000000"/>
            </w:tcBorders>
          </w:tcPr>
          <w:p>
            <w:pPr>
              <w:pStyle w:val="TableParagraph"/>
              <w:spacing w:before="0"/>
              <w:jc w:val="left"/>
              <w:rPr>
                <w:rFonts w:ascii="Times New Roman"/>
                <w:sz w:val="18"/>
              </w:rPr>
            </w:pPr>
          </w:p>
        </w:tc>
        <w:tc>
          <w:tcPr>
            <w:tcW w:w="1117" w:type="dxa"/>
            <w:tcBorders>
              <w:left w:val="single" w:sz="2" w:space="0" w:color="000000"/>
              <w:right w:val="nil"/>
            </w:tcBorders>
          </w:tcPr>
          <w:p>
            <w:pPr>
              <w:pStyle w:val="TableParagraph"/>
              <w:spacing w:before="0"/>
              <w:jc w:val="left"/>
              <w:rPr>
                <w:rFonts w:ascii="Times New Roman"/>
                <w:sz w:val="18"/>
              </w:rPr>
            </w:pPr>
          </w:p>
        </w:tc>
      </w:tr>
      <w:tr>
        <w:trPr>
          <w:trHeight w:val="479" w:hRule="atLeast"/>
        </w:trPr>
        <w:tc>
          <w:tcPr>
            <w:tcW w:w="734" w:type="dxa"/>
            <w:tcBorders>
              <w:left w:val="nil"/>
              <w:right w:val="single" w:sz="2" w:space="0" w:color="000000"/>
            </w:tcBorders>
          </w:tcPr>
          <w:p>
            <w:pPr>
              <w:pStyle w:val="TableParagraph"/>
              <w:spacing w:before="8"/>
              <w:ind w:right="6"/>
              <w:rPr>
                <w:rFonts w:ascii="Verdana"/>
                <w:sz w:val="18"/>
              </w:rPr>
            </w:pPr>
            <w:r>
              <w:rPr>
                <w:rFonts w:ascii="Verdana"/>
                <w:sz w:val="18"/>
              </w:rPr>
              <w:t>42</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line="237" w:lineRule="auto"/>
              <w:ind w:left="94"/>
              <w:jc w:val="left"/>
              <w:rPr>
                <w:rFonts w:ascii="Verdana"/>
                <w:sz w:val="18"/>
              </w:rPr>
            </w:pPr>
            <w:r>
              <w:rPr>
                <w:rFonts w:ascii="Verdana"/>
                <w:sz w:val="18"/>
              </w:rPr>
              <w:t>Rashodi za nabavu proizvedene dugotrajne imovine</w:t>
            </w:r>
          </w:p>
        </w:tc>
        <w:tc>
          <w:tcPr>
            <w:tcW w:w="1830" w:type="dxa"/>
            <w:tcBorders>
              <w:left w:val="single" w:sz="2" w:space="0" w:color="000000"/>
              <w:right w:val="single" w:sz="2" w:space="0" w:color="000000"/>
            </w:tcBorders>
          </w:tcPr>
          <w:p>
            <w:pPr>
              <w:pStyle w:val="TableParagraph"/>
              <w:spacing w:before="8"/>
              <w:ind w:right="70"/>
              <w:rPr>
                <w:rFonts w:ascii="Verdana"/>
                <w:sz w:val="18"/>
              </w:rPr>
            </w:pPr>
            <w:r>
              <w:rPr>
                <w:rFonts w:ascii="Verdana"/>
                <w:sz w:val="18"/>
              </w:rPr>
              <w:t>907.068,07</w:t>
            </w:r>
          </w:p>
        </w:tc>
        <w:tc>
          <w:tcPr>
            <w:tcW w:w="1830" w:type="dxa"/>
            <w:tcBorders>
              <w:left w:val="single" w:sz="2" w:space="0" w:color="000000"/>
              <w:right w:val="single" w:sz="2" w:space="0" w:color="000000"/>
            </w:tcBorders>
          </w:tcPr>
          <w:p>
            <w:pPr>
              <w:pStyle w:val="TableParagraph"/>
              <w:spacing w:before="8"/>
              <w:ind w:right="62"/>
              <w:rPr>
                <w:rFonts w:ascii="Verdana"/>
                <w:sz w:val="18"/>
              </w:rPr>
            </w:pPr>
            <w:r>
              <w:rPr>
                <w:rFonts w:ascii="Verdana"/>
                <w:sz w:val="18"/>
              </w:rPr>
              <w:t>7.531.000,00</w:t>
            </w:r>
          </w:p>
        </w:tc>
        <w:tc>
          <w:tcPr>
            <w:tcW w:w="1830" w:type="dxa"/>
            <w:tcBorders>
              <w:left w:val="single" w:sz="2" w:space="0" w:color="000000"/>
              <w:right w:val="single" w:sz="2" w:space="0" w:color="000000"/>
            </w:tcBorders>
          </w:tcPr>
          <w:p>
            <w:pPr>
              <w:pStyle w:val="TableParagraph"/>
              <w:spacing w:before="8"/>
              <w:ind w:right="74"/>
              <w:rPr>
                <w:rFonts w:ascii="Verdana"/>
                <w:sz w:val="18"/>
              </w:rPr>
            </w:pPr>
            <w:r>
              <w:rPr>
                <w:rFonts w:ascii="Verdana"/>
                <w:sz w:val="18"/>
              </w:rPr>
              <w:t>7.531.000,00</w:t>
            </w:r>
          </w:p>
        </w:tc>
        <w:tc>
          <w:tcPr>
            <w:tcW w:w="1830" w:type="dxa"/>
            <w:tcBorders>
              <w:left w:val="single" w:sz="2" w:space="0" w:color="000000"/>
              <w:right w:val="single" w:sz="2" w:space="0" w:color="000000"/>
            </w:tcBorders>
          </w:tcPr>
          <w:p>
            <w:pPr>
              <w:pStyle w:val="TableParagraph"/>
              <w:spacing w:before="8"/>
              <w:ind w:right="58"/>
              <w:rPr>
                <w:rFonts w:ascii="Verdana"/>
                <w:sz w:val="18"/>
              </w:rPr>
            </w:pPr>
            <w:r>
              <w:rPr>
                <w:rFonts w:ascii="Verdana"/>
                <w:sz w:val="18"/>
              </w:rPr>
              <w:t>698.677,69</w:t>
            </w:r>
          </w:p>
        </w:tc>
        <w:tc>
          <w:tcPr>
            <w:tcW w:w="1115" w:type="dxa"/>
            <w:tcBorders>
              <w:left w:val="single" w:sz="2" w:space="0" w:color="000000"/>
              <w:right w:val="single" w:sz="2" w:space="0" w:color="000000"/>
            </w:tcBorders>
          </w:tcPr>
          <w:p>
            <w:pPr>
              <w:pStyle w:val="TableParagraph"/>
              <w:spacing w:before="8"/>
              <w:ind w:right="21"/>
              <w:rPr>
                <w:rFonts w:ascii="Verdana"/>
                <w:sz w:val="18"/>
              </w:rPr>
            </w:pPr>
            <w:r>
              <w:rPr>
                <w:rFonts w:ascii="Verdana"/>
                <w:sz w:val="18"/>
              </w:rPr>
              <w:t>77,03%</w:t>
            </w:r>
          </w:p>
        </w:tc>
        <w:tc>
          <w:tcPr>
            <w:tcW w:w="1117" w:type="dxa"/>
            <w:tcBorders>
              <w:left w:val="single" w:sz="2" w:space="0" w:color="000000"/>
              <w:right w:val="nil"/>
            </w:tcBorders>
          </w:tcPr>
          <w:p>
            <w:pPr>
              <w:pStyle w:val="TableParagraph"/>
              <w:spacing w:before="8"/>
              <w:ind w:right="22"/>
              <w:rPr>
                <w:rFonts w:ascii="Verdana"/>
                <w:sz w:val="18"/>
              </w:rPr>
            </w:pPr>
            <w:r>
              <w:rPr>
                <w:rFonts w:ascii="Verdana"/>
                <w:sz w:val="18"/>
              </w:rPr>
              <w:t>9,28%</w:t>
            </w:r>
          </w:p>
        </w:tc>
      </w:tr>
      <w:tr>
        <w:trPr>
          <w:trHeight w:val="265" w:hRule="atLeast"/>
        </w:trPr>
        <w:tc>
          <w:tcPr>
            <w:tcW w:w="734" w:type="dxa"/>
            <w:tcBorders>
              <w:left w:val="nil"/>
              <w:right w:val="single" w:sz="2" w:space="0" w:color="000000"/>
            </w:tcBorders>
          </w:tcPr>
          <w:p>
            <w:pPr>
              <w:pStyle w:val="TableParagraph"/>
              <w:spacing w:before="9"/>
              <w:ind w:right="9"/>
              <w:rPr>
                <w:sz w:val="18"/>
              </w:rPr>
            </w:pPr>
            <w:r>
              <w:rPr>
                <w:sz w:val="18"/>
              </w:rPr>
              <w:t>421</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Građevinski objekti</w:t>
            </w:r>
          </w:p>
        </w:tc>
        <w:tc>
          <w:tcPr>
            <w:tcW w:w="1830" w:type="dxa"/>
            <w:tcBorders>
              <w:left w:val="single" w:sz="2" w:space="0" w:color="000000"/>
              <w:right w:val="single" w:sz="2" w:space="0" w:color="000000"/>
            </w:tcBorders>
          </w:tcPr>
          <w:p>
            <w:pPr>
              <w:pStyle w:val="TableParagraph"/>
              <w:spacing w:before="9"/>
              <w:ind w:right="79"/>
              <w:rPr>
                <w:sz w:val="18"/>
              </w:rPr>
            </w:pPr>
            <w:r>
              <w:rPr>
                <w:sz w:val="18"/>
              </w:rPr>
              <w:t>730.312,50</w:t>
            </w:r>
          </w:p>
        </w:tc>
        <w:tc>
          <w:tcPr>
            <w:tcW w:w="1830" w:type="dxa"/>
            <w:tcBorders>
              <w:left w:val="single" w:sz="2" w:space="0" w:color="000000"/>
              <w:right w:val="single" w:sz="2" w:space="0" w:color="000000"/>
            </w:tcBorders>
          </w:tcPr>
          <w:p>
            <w:pPr>
              <w:pStyle w:val="TableParagraph"/>
              <w:spacing w:before="9"/>
              <w:ind w:right="68"/>
              <w:rPr>
                <w:sz w:val="18"/>
              </w:rPr>
            </w:pPr>
            <w:r>
              <w:rPr>
                <w:sz w:val="18"/>
              </w:rPr>
              <w:t>6.804.500,00</w:t>
            </w:r>
          </w:p>
        </w:tc>
        <w:tc>
          <w:tcPr>
            <w:tcW w:w="1830" w:type="dxa"/>
            <w:tcBorders>
              <w:left w:val="single" w:sz="2" w:space="0" w:color="000000"/>
              <w:right w:val="single" w:sz="2" w:space="0" w:color="000000"/>
            </w:tcBorders>
          </w:tcPr>
          <w:p>
            <w:pPr>
              <w:pStyle w:val="TableParagraph"/>
              <w:spacing w:before="9"/>
              <w:ind w:right="84"/>
              <w:rPr>
                <w:sz w:val="18"/>
              </w:rPr>
            </w:pPr>
            <w:r>
              <w:rPr>
                <w:sz w:val="18"/>
              </w:rPr>
              <w:t>6.804.500,00</w:t>
            </w:r>
          </w:p>
        </w:tc>
        <w:tc>
          <w:tcPr>
            <w:tcW w:w="1830" w:type="dxa"/>
            <w:tcBorders>
              <w:left w:val="single" w:sz="2" w:space="0" w:color="000000"/>
              <w:right w:val="single" w:sz="2" w:space="0" w:color="000000"/>
            </w:tcBorders>
          </w:tcPr>
          <w:p>
            <w:pPr>
              <w:pStyle w:val="TableParagraph"/>
              <w:spacing w:before="9"/>
              <w:ind w:right="69"/>
              <w:rPr>
                <w:sz w:val="18"/>
              </w:rPr>
            </w:pPr>
            <w:r>
              <w:rPr>
                <w:sz w:val="18"/>
              </w:rPr>
              <w:t>564.243,17</w:t>
            </w:r>
          </w:p>
        </w:tc>
        <w:tc>
          <w:tcPr>
            <w:tcW w:w="1115" w:type="dxa"/>
            <w:tcBorders>
              <w:left w:val="single" w:sz="2" w:space="0" w:color="000000"/>
              <w:right w:val="single" w:sz="2" w:space="0" w:color="000000"/>
            </w:tcBorders>
          </w:tcPr>
          <w:p>
            <w:pPr>
              <w:pStyle w:val="TableParagraph"/>
              <w:ind w:right="16"/>
              <w:rPr>
                <w:sz w:val="16"/>
              </w:rPr>
            </w:pPr>
            <w:r>
              <w:rPr>
                <w:sz w:val="16"/>
              </w:rPr>
              <w:t>77,26%</w:t>
            </w:r>
          </w:p>
        </w:tc>
        <w:tc>
          <w:tcPr>
            <w:tcW w:w="1117" w:type="dxa"/>
            <w:tcBorders>
              <w:left w:val="single" w:sz="2" w:space="0" w:color="000000"/>
              <w:right w:val="nil"/>
            </w:tcBorders>
          </w:tcPr>
          <w:p>
            <w:pPr>
              <w:pStyle w:val="TableParagraph"/>
              <w:ind w:right="19"/>
              <w:rPr>
                <w:sz w:val="16"/>
              </w:rPr>
            </w:pPr>
            <w:r>
              <w:rPr>
                <w:sz w:val="16"/>
              </w:rPr>
              <w:t>8,29%</w:t>
            </w:r>
          </w:p>
        </w:tc>
      </w:tr>
      <w:tr>
        <w:trPr>
          <w:trHeight w:val="267" w:hRule="atLeast"/>
        </w:trPr>
        <w:tc>
          <w:tcPr>
            <w:tcW w:w="734" w:type="dxa"/>
            <w:tcBorders>
              <w:left w:val="nil"/>
              <w:right w:val="single" w:sz="2" w:space="0" w:color="000000"/>
            </w:tcBorders>
          </w:tcPr>
          <w:p>
            <w:pPr>
              <w:pStyle w:val="TableParagraph"/>
              <w:spacing w:before="9"/>
              <w:ind w:right="12"/>
              <w:rPr>
                <w:sz w:val="18"/>
              </w:rPr>
            </w:pPr>
            <w:r>
              <w:rPr>
                <w:sz w:val="18"/>
              </w:rPr>
              <w:t>4212</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Poslovni objekti</w:t>
            </w:r>
          </w:p>
        </w:tc>
        <w:tc>
          <w:tcPr>
            <w:tcW w:w="1830" w:type="dxa"/>
            <w:tcBorders>
              <w:left w:val="single" w:sz="2" w:space="0" w:color="000000"/>
              <w:right w:val="single" w:sz="2" w:space="0" w:color="000000"/>
            </w:tcBorders>
          </w:tcPr>
          <w:p>
            <w:pPr>
              <w:pStyle w:val="TableParagraph"/>
              <w:spacing w:before="9"/>
              <w:ind w:right="79"/>
              <w:rPr>
                <w:sz w:val="18"/>
              </w:rPr>
            </w:pPr>
            <w:r>
              <w:rPr>
                <w:sz w:val="18"/>
              </w:rPr>
              <w:t>325.000,00</w:t>
            </w: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9"/>
              <w:ind w:right="66"/>
              <w:rPr>
                <w:sz w:val="18"/>
              </w:rPr>
            </w:pPr>
            <w:r>
              <w:rPr>
                <w:sz w:val="18"/>
              </w:rPr>
              <w:t>61.085,63</w:t>
            </w:r>
          </w:p>
        </w:tc>
        <w:tc>
          <w:tcPr>
            <w:tcW w:w="1115" w:type="dxa"/>
            <w:tcBorders>
              <w:left w:val="single" w:sz="2" w:space="0" w:color="000000"/>
              <w:right w:val="single" w:sz="2" w:space="0" w:color="000000"/>
            </w:tcBorders>
          </w:tcPr>
          <w:p>
            <w:pPr>
              <w:pStyle w:val="TableParagraph"/>
              <w:ind w:right="16"/>
              <w:rPr>
                <w:sz w:val="16"/>
              </w:rPr>
            </w:pPr>
            <w:r>
              <w:rPr>
                <w:sz w:val="16"/>
              </w:rPr>
              <w:t>18,80%</w:t>
            </w:r>
          </w:p>
        </w:tc>
        <w:tc>
          <w:tcPr>
            <w:tcW w:w="1117" w:type="dxa"/>
            <w:tcBorders>
              <w:left w:val="single" w:sz="2" w:space="0" w:color="000000"/>
              <w:right w:val="nil"/>
            </w:tcBorders>
          </w:tcPr>
          <w:p>
            <w:pPr>
              <w:pStyle w:val="TableParagraph"/>
              <w:spacing w:before="0"/>
              <w:jc w:val="left"/>
              <w:rPr>
                <w:rFonts w:ascii="Times New Roman"/>
                <w:sz w:val="18"/>
              </w:rPr>
            </w:pPr>
          </w:p>
        </w:tc>
      </w:tr>
      <w:tr>
        <w:trPr>
          <w:trHeight w:val="265" w:hRule="atLeast"/>
        </w:trPr>
        <w:tc>
          <w:tcPr>
            <w:tcW w:w="734" w:type="dxa"/>
            <w:tcBorders>
              <w:left w:val="nil"/>
              <w:right w:val="single" w:sz="2" w:space="0" w:color="000000"/>
            </w:tcBorders>
          </w:tcPr>
          <w:p>
            <w:pPr>
              <w:pStyle w:val="TableParagraph"/>
              <w:spacing w:before="9"/>
              <w:ind w:right="12"/>
              <w:rPr>
                <w:sz w:val="18"/>
              </w:rPr>
            </w:pPr>
            <w:r>
              <w:rPr>
                <w:sz w:val="18"/>
              </w:rPr>
              <w:t>4213</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Ceste, željeznice i slični građevinski objekti</w:t>
            </w:r>
          </w:p>
        </w:tc>
        <w:tc>
          <w:tcPr>
            <w:tcW w:w="1830" w:type="dxa"/>
            <w:tcBorders>
              <w:left w:val="single" w:sz="2" w:space="0" w:color="000000"/>
              <w:right w:val="single" w:sz="2" w:space="0" w:color="000000"/>
            </w:tcBorders>
          </w:tcPr>
          <w:p>
            <w:pPr>
              <w:pStyle w:val="TableParagraph"/>
              <w:spacing w:before="9"/>
              <w:ind w:right="79"/>
              <w:rPr>
                <w:sz w:val="18"/>
              </w:rPr>
            </w:pPr>
            <w:r>
              <w:rPr>
                <w:sz w:val="18"/>
              </w:rPr>
              <w:t>379.062,50</w:t>
            </w: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9"/>
              <w:ind w:right="68"/>
              <w:rPr>
                <w:sz w:val="18"/>
              </w:rPr>
            </w:pPr>
            <w:r>
              <w:rPr>
                <w:sz w:val="18"/>
              </w:rPr>
              <w:t>303.157,54</w:t>
            </w:r>
          </w:p>
        </w:tc>
        <w:tc>
          <w:tcPr>
            <w:tcW w:w="1115" w:type="dxa"/>
            <w:tcBorders>
              <w:left w:val="single" w:sz="2" w:space="0" w:color="000000"/>
              <w:right w:val="single" w:sz="2" w:space="0" w:color="000000"/>
            </w:tcBorders>
          </w:tcPr>
          <w:p>
            <w:pPr>
              <w:pStyle w:val="TableParagraph"/>
              <w:ind w:right="16"/>
              <w:rPr>
                <w:sz w:val="16"/>
              </w:rPr>
            </w:pPr>
            <w:r>
              <w:rPr>
                <w:sz w:val="16"/>
              </w:rPr>
              <w:t>79,98%</w:t>
            </w:r>
          </w:p>
        </w:tc>
        <w:tc>
          <w:tcPr>
            <w:tcW w:w="1117" w:type="dxa"/>
            <w:tcBorders>
              <w:left w:val="single" w:sz="2" w:space="0" w:color="000000"/>
              <w:right w:val="nil"/>
            </w:tcBorders>
          </w:tcPr>
          <w:p>
            <w:pPr>
              <w:pStyle w:val="TableParagraph"/>
              <w:spacing w:before="0"/>
              <w:jc w:val="left"/>
              <w:rPr>
                <w:rFonts w:ascii="Times New Roman"/>
                <w:sz w:val="18"/>
              </w:rPr>
            </w:pPr>
          </w:p>
        </w:tc>
      </w:tr>
      <w:tr>
        <w:trPr>
          <w:trHeight w:val="265" w:hRule="atLeast"/>
        </w:trPr>
        <w:tc>
          <w:tcPr>
            <w:tcW w:w="734" w:type="dxa"/>
            <w:tcBorders>
              <w:left w:val="nil"/>
              <w:right w:val="single" w:sz="2" w:space="0" w:color="000000"/>
            </w:tcBorders>
          </w:tcPr>
          <w:p>
            <w:pPr>
              <w:pStyle w:val="TableParagraph"/>
              <w:spacing w:before="9"/>
              <w:ind w:right="12"/>
              <w:rPr>
                <w:sz w:val="18"/>
              </w:rPr>
            </w:pPr>
            <w:r>
              <w:rPr>
                <w:sz w:val="18"/>
              </w:rPr>
              <w:t>4214</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Ostali građevinski objekti</w:t>
            </w:r>
          </w:p>
        </w:tc>
        <w:tc>
          <w:tcPr>
            <w:tcW w:w="1830" w:type="dxa"/>
            <w:tcBorders>
              <w:left w:val="single" w:sz="2" w:space="0" w:color="000000"/>
              <w:right w:val="single" w:sz="2" w:space="0" w:color="000000"/>
            </w:tcBorders>
          </w:tcPr>
          <w:p>
            <w:pPr>
              <w:pStyle w:val="TableParagraph"/>
              <w:spacing w:before="9"/>
              <w:ind w:right="76"/>
              <w:rPr>
                <w:sz w:val="18"/>
              </w:rPr>
            </w:pPr>
            <w:r>
              <w:rPr>
                <w:sz w:val="18"/>
              </w:rPr>
              <w:t>26.250,00</w:t>
            </w: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0"/>
              <w:jc w:val="left"/>
              <w:rPr>
                <w:rFonts w:ascii="Times New Roman"/>
                <w:sz w:val="18"/>
              </w:rPr>
            </w:pPr>
          </w:p>
        </w:tc>
        <w:tc>
          <w:tcPr>
            <w:tcW w:w="1830" w:type="dxa"/>
            <w:tcBorders>
              <w:left w:val="single" w:sz="2" w:space="0" w:color="000000"/>
              <w:right w:val="single" w:sz="2" w:space="0" w:color="000000"/>
            </w:tcBorders>
          </w:tcPr>
          <w:p>
            <w:pPr>
              <w:pStyle w:val="TableParagraph"/>
              <w:spacing w:before="9"/>
              <w:ind w:right="68"/>
              <w:rPr>
                <w:sz w:val="18"/>
              </w:rPr>
            </w:pPr>
            <w:r>
              <w:rPr>
                <w:sz w:val="18"/>
              </w:rPr>
              <w:t>200.000,00</w:t>
            </w:r>
          </w:p>
        </w:tc>
        <w:tc>
          <w:tcPr>
            <w:tcW w:w="1115" w:type="dxa"/>
            <w:tcBorders>
              <w:left w:val="single" w:sz="2" w:space="0" w:color="000000"/>
              <w:right w:val="single" w:sz="2" w:space="0" w:color="000000"/>
            </w:tcBorders>
          </w:tcPr>
          <w:p>
            <w:pPr>
              <w:pStyle w:val="TableParagraph"/>
              <w:ind w:right="16"/>
              <w:rPr>
                <w:sz w:val="16"/>
              </w:rPr>
            </w:pPr>
            <w:r>
              <w:rPr>
                <w:sz w:val="16"/>
              </w:rPr>
              <w:t>761,90%</w:t>
            </w:r>
          </w:p>
        </w:tc>
        <w:tc>
          <w:tcPr>
            <w:tcW w:w="1117" w:type="dxa"/>
            <w:tcBorders>
              <w:left w:val="single" w:sz="2" w:space="0" w:color="000000"/>
              <w:right w:val="nil"/>
            </w:tcBorders>
          </w:tcPr>
          <w:p>
            <w:pPr>
              <w:pStyle w:val="TableParagraph"/>
              <w:spacing w:before="0"/>
              <w:jc w:val="left"/>
              <w:rPr>
                <w:rFonts w:ascii="Times New Roman"/>
                <w:sz w:val="18"/>
              </w:rPr>
            </w:pPr>
          </w:p>
        </w:tc>
      </w:tr>
      <w:tr>
        <w:trPr>
          <w:trHeight w:val="265" w:hRule="atLeast"/>
        </w:trPr>
        <w:tc>
          <w:tcPr>
            <w:tcW w:w="734" w:type="dxa"/>
            <w:tcBorders>
              <w:left w:val="nil"/>
              <w:right w:val="single" w:sz="2" w:space="0" w:color="000000"/>
            </w:tcBorders>
          </w:tcPr>
          <w:p>
            <w:pPr>
              <w:pStyle w:val="TableParagraph"/>
              <w:spacing w:before="9"/>
              <w:ind w:right="9"/>
              <w:rPr>
                <w:sz w:val="18"/>
              </w:rPr>
            </w:pPr>
            <w:r>
              <w:rPr>
                <w:sz w:val="18"/>
              </w:rPr>
              <w:t>422</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jc w:val="left"/>
              <w:rPr>
                <w:sz w:val="18"/>
              </w:rPr>
            </w:pPr>
            <w:r>
              <w:rPr>
                <w:sz w:val="18"/>
              </w:rPr>
              <w:t>Postrojenja i oprema</w:t>
            </w:r>
          </w:p>
        </w:tc>
        <w:tc>
          <w:tcPr>
            <w:tcW w:w="1830" w:type="dxa"/>
            <w:tcBorders>
              <w:left w:val="single" w:sz="2" w:space="0" w:color="000000"/>
              <w:right w:val="single" w:sz="2" w:space="0" w:color="000000"/>
            </w:tcBorders>
          </w:tcPr>
          <w:p>
            <w:pPr>
              <w:pStyle w:val="TableParagraph"/>
              <w:spacing w:before="9"/>
              <w:ind w:right="76"/>
              <w:rPr>
                <w:sz w:val="18"/>
              </w:rPr>
            </w:pPr>
            <w:r>
              <w:rPr>
                <w:sz w:val="18"/>
              </w:rPr>
              <w:t>62.419,53</w:t>
            </w:r>
          </w:p>
        </w:tc>
        <w:tc>
          <w:tcPr>
            <w:tcW w:w="1830" w:type="dxa"/>
            <w:tcBorders>
              <w:left w:val="single" w:sz="2" w:space="0" w:color="000000"/>
              <w:right w:val="single" w:sz="2" w:space="0" w:color="000000"/>
            </w:tcBorders>
          </w:tcPr>
          <w:p>
            <w:pPr>
              <w:pStyle w:val="TableParagraph"/>
              <w:spacing w:before="9"/>
              <w:ind w:right="68"/>
              <w:rPr>
                <w:sz w:val="18"/>
              </w:rPr>
            </w:pPr>
            <w:r>
              <w:rPr>
                <w:sz w:val="18"/>
              </w:rPr>
              <w:t>343.000,00</w:t>
            </w:r>
          </w:p>
        </w:tc>
        <w:tc>
          <w:tcPr>
            <w:tcW w:w="1830" w:type="dxa"/>
            <w:tcBorders>
              <w:left w:val="single" w:sz="2" w:space="0" w:color="000000"/>
              <w:right w:val="single" w:sz="2" w:space="0" w:color="000000"/>
            </w:tcBorders>
          </w:tcPr>
          <w:p>
            <w:pPr>
              <w:pStyle w:val="TableParagraph"/>
              <w:spacing w:before="9"/>
              <w:ind w:right="82"/>
              <w:rPr>
                <w:sz w:val="18"/>
              </w:rPr>
            </w:pPr>
            <w:r>
              <w:rPr>
                <w:sz w:val="18"/>
              </w:rPr>
              <w:t>343.000,00</w:t>
            </w:r>
          </w:p>
        </w:tc>
        <w:tc>
          <w:tcPr>
            <w:tcW w:w="1830" w:type="dxa"/>
            <w:tcBorders>
              <w:left w:val="single" w:sz="2" w:space="0" w:color="000000"/>
              <w:right w:val="single" w:sz="2" w:space="0" w:color="000000"/>
            </w:tcBorders>
          </w:tcPr>
          <w:p>
            <w:pPr>
              <w:pStyle w:val="TableParagraph"/>
              <w:spacing w:before="9"/>
              <w:ind w:right="67"/>
              <w:rPr>
                <w:sz w:val="18"/>
              </w:rPr>
            </w:pPr>
            <w:r>
              <w:rPr>
                <w:sz w:val="18"/>
              </w:rPr>
              <w:t>80.591,00</w:t>
            </w:r>
          </w:p>
        </w:tc>
        <w:tc>
          <w:tcPr>
            <w:tcW w:w="1115" w:type="dxa"/>
            <w:tcBorders>
              <w:left w:val="single" w:sz="2" w:space="0" w:color="000000"/>
              <w:right w:val="single" w:sz="2" w:space="0" w:color="000000"/>
            </w:tcBorders>
          </w:tcPr>
          <w:p>
            <w:pPr>
              <w:pStyle w:val="TableParagraph"/>
              <w:ind w:right="16"/>
              <w:rPr>
                <w:sz w:val="16"/>
              </w:rPr>
            </w:pPr>
            <w:r>
              <w:rPr>
                <w:sz w:val="16"/>
              </w:rPr>
              <w:t>129,11%</w:t>
            </w:r>
          </w:p>
        </w:tc>
        <w:tc>
          <w:tcPr>
            <w:tcW w:w="1117" w:type="dxa"/>
            <w:tcBorders>
              <w:left w:val="single" w:sz="2" w:space="0" w:color="000000"/>
              <w:right w:val="nil"/>
            </w:tcBorders>
          </w:tcPr>
          <w:p>
            <w:pPr>
              <w:pStyle w:val="TableParagraph"/>
              <w:ind w:right="19"/>
              <w:rPr>
                <w:sz w:val="16"/>
              </w:rPr>
            </w:pPr>
            <w:r>
              <w:rPr>
                <w:sz w:val="16"/>
              </w:rPr>
              <w:t>23,50%</w:t>
            </w:r>
          </w:p>
        </w:tc>
      </w:tr>
      <w:tr>
        <w:trPr>
          <w:trHeight w:val="280" w:hRule="atLeast"/>
        </w:trPr>
        <w:tc>
          <w:tcPr>
            <w:tcW w:w="734" w:type="dxa"/>
            <w:tcBorders>
              <w:left w:val="nil"/>
              <w:bottom w:val="nil"/>
              <w:right w:val="single" w:sz="2" w:space="0" w:color="000000"/>
            </w:tcBorders>
          </w:tcPr>
          <w:p>
            <w:pPr>
              <w:pStyle w:val="TableParagraph"/>
              <w:spacing w:before="9"/>
              <w:ind w:right="12"/>
              <w:rPr>
                <w:sz w:val="18"/>
              </w:rPr>
            </w:pPr>
            <w:r>
              <w:rPr>
                <w:sz w:val="18"/>
              </w:rPr>
              <w:t>4221</w:t>
            </w:r>
          </w:p>
        </w:tc>
        <w:tc>
          <w:tcPr>
            <w:tcW w:w="400" w:type="dxa"/>
            <w:tcBorders>
              <w:left w:val="single" w:sz="2" w:space="0" w:color="000000"/>
              <w:bottom w:val="nil"/>
              <w:right w:val="single" w:sz="2" w:space="0" w:color="000000"/>
            </w:tcBorders>
          </w:tcPr>
          <w:p>
            <w:pPr>
              <w:pStyle w:val="TableParagraph"/>
              <w:spacing w:before="0"/>
              <w:jc w:val="left"/>
              <w:rPr>
                <w:rFonts w:ascii="Times New Roman"/>
                <w:sz w:val="18"/>
              </w:rPr>
            </w:pPr>
          </w:p>
        </w:tc>
        <w:tc>
          <w:tcPr>
            <w:tcW w:w="4672" w:type="dxa"/>
            <w:tcBorders>
              <w:left w:val="single" w:sz="2" w:space="0" w:color="000000"/>
              <w:bottom w:val="nil"/>
              <w:right w:val="single" w:sz="2" w:space="0" w:color="000000"/>
            </w:tcBorders>
          </w:tcPr>
          <w:p>
            <w:pPr>
              <w:pStyle w:val="TableParagraph"/>
              <w:spacing w:before="9"/>
              <w:ind w:left="94"/>
              <w:jc w:val="left"/>
              <w:rPr>
                <w:sz w:val="18"/>
              </w:rPr>
            </w:pPr>
            <w:r>
              <w:rPr>
                <w:sz w:val="18"/>
              </w:rPr>
              <w:t>Uredska oprema i namještaj</w:t>
            </w:r>
          </w:p>
        </w:tc>
        <w:tc>
          <w:tcPr>
            <w:tcW w:w="1830" w:type="dxa"/>
            <w:tcBorders>
              <w:left w:val="single" w:sz="2" w:space="0" w:color="000000"/>
              <w:bottom w:val="nil"/>
              <w:right w:val="single" w:sz="2" w:space="0" w:color="000000"/>
            </w:tcBorders>
          </w:tcPr>
          <w:p>
            <w:pPr>
              <w:pStyle w:val="TableParagraph"/>
              <w:spacing w:before="9"/>
              <w:ind w:right="76"/>
              <w:rPr>
                <w:sz w:val="18"/>
              </w:rPr>
            </w:pPr>
            <w:r>
              <w:rPr>
                <w:sz w:val="18"/>
              </w:rPr>
              <w:t>27.078,78</w:t>
            </w:r>
          </w:p>
        </w:tc>
        <w:tc>
          <w:tcPr>
            <w:tcW w:w="1830" w:type="dxa"/>
            <w:tcBorders>
              <w:left w:val="single" w:sz="2" w:space="0" w:color="000000"/>
              <w:bottom w:val="nil"/>
              <w:right w:val="single" w:sz="2" w:space="0" w:color="000000"/>
            </w:tcBorders>
          </w:tcPr>
          <w:p>
            <w:pPr>
              <w:pStyle w:val="TableParagraph"/>
              <w:spacing w:before="0"/>
              <w:jc w:val="left"/>
              <w:rPr>
                <w:rFonts w:ascii="Times New Roman"/>
                <w:sz w:val="18"/>
              </w:rPr>
            </w:pPr>
          </w:p>
        </w:tc>
        <w:tc>
          <w:tcPr>
            <w:tcW w:w="1830" w:type="dxa"/>
            <w:tcBorders>
              <w:left w:val="single" w:sz="2" w:space="0" w:color="000000"/>
              <w:bottom w:val="nil"/>
              <w:right w:val="single" w:sz="2" w:space="0" w:color="000000"/>
            </w:tcBorders>
          </w:tcPr>
          <w:p>
            <w:pPr>
              <w:pStyle w:val="TableParagraph"/>
              <w:spacing w:before="0"/>
              <w:jc w:val="left"/>
              <w:rPr>
                <w:rFonts w:ascii="Times New Roman"/>
                <w:sz w:val="18"/>
              </w:rPr>
            </w:pPr>
          </w:p>
        </w:tc>
        <w:tc>
          <w:tcPr>
            <w:tcW w:w="1830" w:type="dxa"/>
            <w:tcBorders>
              <w:left w:val="single" w:sz="2" w:space="0" w:color="000000"/>
              <w:bottom w:val="nil"/>
              <w:right w:val="single" w:sz="2" w:space="0" w:color="000000"/>
            </w:tcBorders>
          </w:tcPr>
          <w:p>
            <w:pPr>
              <w:pStyle w:val="TableParagraph"/>
              <w:spacing w:before="9"/>
              <w:ind w:right="66"/>
              <w:rPr>
                <w:sz w:val="18"/>
              </w:rPr>
            </w:pPr>
            <w:r>
              <w:rPr>
                <w:sz w:val="18"/>
              </w:rPr>
              <w:t>8.591,00</w:t>
            </w:r>
          </w:p>
        </w:tc>
        <w:tc>
          <w:tcPr>
            <w:tcW w:w="1115" w:type="dxa"/>
            <w:tcBorders>
              <w:left w:val="single" w:sz="2" w:space="0" w:color="000000"/>
              <w:bottom w:val="nil"/>
              <w:right w:val="single" w:sz="2" w:space="0" w:color="000000"/>
            </w:tcBorders>
          </w:tcPr>
          <w:p>
            <w:pPr>
              <w:pStyle w:val="TableParagraph"/>
              <w:ind w:right="16"/>
              <w:rPr>
                <w:sz w:val="16"/>
              </w:rPr>
            </w:pPr>
            <w:r>
              <w:rPr>
                <w:sz w:val="16"/>
              </w:rPr>
              <w:t>31,73%</w:t>
            </w:r>
          </w:p>
        </w:tc>
        <w:tc>
          <w:tcPr>
            <w:tcW w:w="1117" w:type="dxa"/>
            <w:tcBorders>
              <w:left w:val="single" w:sz="2" w:space="0" w:color="000000"/>
              <w:bottom w:val="nil"/>
              <w:right w:val="nil"/>
            </w:tcBorders>
          </w:tcPr>
          <w:p>
            <w:pPr>
              <w:pStyle w:val="TableParagraph"/>
              <w:spacing w:before="0"/>
              <w:jc w:val="left"/>
              <w:rPr>
                <w:rFonts w:ascii="Times New Roman"/>
                <w:sz w:val="18"/>
              </w:rPr>
            </w:pPr>
          </w:p>
        </w:tc>
      </w:tr>
    </w:tbl>
    <w:p>
      <w:pPr>
        <w:spacing w:after="0"/>
        <w:jc w:val="left"/>
        <w:rPr>
          <w:rFonts w:ascii="Times New Roman"/>
          <w:sz w:val="18"/>
        </w:rPr>
        <w:sectPr>
          <w:pgSz w:w="16840" w:h="11900" w:orient="landscape"/>
          <w:pgMar w:header="0" w:footer="718" w:top="1100" w:bottom="90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399"/>
        <w:gridCol w:w="4672"/>
        <w:gridCol w:w="1833"/>
        <w:gridCol w:w="1831"/>
        <w:gridCol w:w="1831"/>
        <w:gridCol w:w="1831"/>
        <w:gridCol w:w="1116"/>
        <w:gridCol w:w="1120"/>
      </w:tblGrid>
      <w:tr>
        <w:trPr>
          <w:trHeight w:val="828" w:hRule="atLeast"/>
        </w:trPr>
        <w:tc>
          <w:tcPr>
            <w:tcW w:w="15367" w:type="dxa"/>
            <w:gridSpan w:val="9"/>
            <w:tcBorders>
              <w:left w:val="nil"/>
              <w:bottom w:val="single" w:sz="8" w:space="0" w:color="000000"/>
              <w:right w:val="nil"/>
            </w:tcBorders>
            <w:shd w:val="clear" w:color="auto" w:fill="C0C0C0"/>
          </w:tcPr>
          <w:p>
            <w:pPr>
              <w:pStyle w:val="TableParagraph"/>
              <w:spacing w:before="56"/>
              <w:ind w:left="1640"/>
              <w:jc w:val="left"/>
              <w:rPr>
                <w:rFonts w:ascii="Century" w:hAnsi="Century"/>
                <w:sz w:val="28"/>
              </w:rPr>
            </w:pPr>
            <w:r>
              <w:rPr>
                <w:rFonts w:ascii="Century" w:hAnsi="Century"/>
                <w:sz w:val="28"/>
              </w:rPr>
              <w:t>POLUGODIŠNJI IZVJEŠTAJ O IZVRŠENJU PRORAČUNA GRADA OZLJA ZA 2014. GODINU</w:t>
            </w:r>
          </w:p>
          <w:p>
            <w:pPr>
              <w:pStyle w:val="TableParagraph"/>
              <w:spacing w:before="67"/>
              <w:ind w:left="5442"/>
              <w:jc w:val="left"/>
              <w:rPr>
                <w:rFonts w:ascii="Times New Roman" w:hAnsi="Times New Roman"/>
                <w:sz w:val="22"/>
              </w:rPr>
            </w:pPr>
            <w:r>
              <w:rPr>
                <w:rFonts w:ascii="Times New Roman" w:hAnsi="Times New Roman"/>
                <w:sz w:val="22"/>
              </w:rPr>
              <w:t>A. RAČUN PRIHODA I RASHODA (RASHODI)</w:t>
            </w:r>
          </w:p>
        </w:tc>
      </w:tr>
      <w:tr>
        <w:trPr>
          <w:trHeight w:val="846" w:hRule="atLeast"/>
        </w:trPr>
        <w:tc>
          <w:tcPr>
            <w:tcW w:w="1133"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13"/>
              <w:ind w:left="231" w:right="229" w:hanging="49"/>
              <w:jc w:val="center"/>
              <w:rPr>
                <w:sz w:val="20"/>
              </w:rPr>
            </w:pPr>
            <w:r>
              <w:rPr>
                <w:sz w:val="20"/>
              </w:rPr>
              <w:t>Račun/ Pozicija</w:t>
            </w:r>
          </w:p>
          <w:p>
            <w:pPr>
              <w:pStyle w:val="TableParagraph"/>
              <w:spacing w:before="89"/>
              <w:ind w:left="11"/>
              <w:jc w:val="center"/>
              <w:rPr>
                <w:sz w:val="18"/>
              </w:rPr>
            </w:pPr>
            <w:r>
              <w:rPr>
                <w:w w:val="100"/>
                <w:sz w:val="18"/>
              </w:rPr>
              <w:t>1</w:t>
            </w:r>
          </w:p>
        </w:tc>
        <w:tc>
          <w:tcPr>
            <w:tcW w:w="467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2142" w:right="2096"/>
              <w:jc w:val="center"/>
              <w:rPr>
                <w:sz w:val="20"/>
              </w:rPr>
            </w:pPr>
            <w:r>
              <w:rPr>
                <w:sz w:val="20"/>
              </w:rPr>
              <w:t>Opis</w:t>
            </w:r>
          </w:p>
          <w:p>
            <w:pPr>
              <w:pStyle w:val="TableParagraph"/>
              <w:spacing w:before="2"/>
              <w:jc w:val="left"/>
              <w:rPr>
                <w:rFonts w:ascii="Times New Roman"/>
                <w:sz w:val="29"/>
              </w:rPr>
            </w:pPr>
          </w:p>
          <w:p>
            <w:pPr>
              <w:pStyle w:val="TableParagraph"/>
              <w:spacing w:before="0"/>
              <w:ind w:left="41"/>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8"/>
              <w:ind w:left="146" w:right="132"/>
              <w:jc w:val="center"/>
              <w:rPr>
                <w:sz w:val="20"/>
              </w:rPr>
            </w:pPr>
            <w:r>
              <w:rPr>
                <w:sz w:val="20"/>
              </w:rPr>
              <w:t>Izvršenje 01.01.-</w:t>
            </w:r>
          </w:p>
          <w:p>
            <w:pPr>
              <w:pStyle w:val="TableParagraph"/>
              <w:spacing w:line="241" w:lineRule="exact" w:before="0"/>
              <w:ind w:left="95" w:right="138"/>
              <w:jc w:val="center"/>
              <w:rPr>
                <w:sz w:val="20"/>
              </w:rPr>
            </w:pPr>
            <w:r>
              <w:rPr>
                <w:sz w:val="20"/>
              </w:rPr>
              <w:t>30.06.2013.</w:t>
            </w:r>
          </w:p>
          <w:p>
            <w:pPr>
              <w:pStyle w:val="TableParagraph"/>
              <w:spacing w:before="91"/>
              <w:ind w:left="16"/>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0" w:right="131"/>
              <w:jc w:val="center"/>
              <w:rPr>
                <w:sz w:val="20"/>
              </w:rPr>
            </w:pPr>
            <w:r>
              <w:rPr>
                <w:sz w:val="20"/>
              </w:rPr>
              <w:t>Izvorni plan za 2014. godinu</w:t>
            </w:r>
          </w:p>
          <w:p>
            <w:pPr>
              <w:pStyle w:val="TableParagraph"/>
              <w:spacing w:before="89"/>
              <w:ind w:left="33"/>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70" w:right="131"/>
              <w:jc w:val="center"/>
              <w:rPr>
                <w:sz w:val="20"/>
              </w:rPr>
            </w:pPr>
            <w:r>
              <w:rPr>
                <w:sz w:val="20"/>
              </w:rPr>
              <w:t>Tekući plan za 2014. godinu</w:t>
            </w:r>
          </w:p>
          <w:p>
            <w:pPr>
              <w:pStyle w:val="TableParagraph"/>
              <w:spacing w:before="94"/>
              <w:jc w:val="center"/>
              <w:rPr>
                <w:sz w:val="18"/>
              </w:rPr>
            </w:pPr>
            <w:r>
              <w:rPr>
                <w:w w:val="100"/>
                <w:sz w:val="18"/>
              </w:rPr>
              <w:t>5</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2"/>
              <w:jc w:val="center"/>
              <w:rPr>
                <w:sz w:val="20"/>
              </w:rPr>
            </w:pPr>
            <w:r>
              <w:rPr>
                <w:sz w:val="20"/>
              </w:rPr>
              <w:t>Izvršenje 01.01.-</w:t>
            </w:r>
          </w:p>
          <w:p>
            <w:pPr>
              <w:pStyle w:val="TableParagraph"/>
              <w:spacing w:line="241" w:lineRule="exact" w:before="0"/>
              <w:ind w:left="102" w:right="131"/>
              <w:jc w:val="center"/>
              <w:rPr>
                <w:sz w:val="20"/>
              </w:rPr>
            </w:pPr>
            <w:r>
              <w:rPr>
                <w:sz w:val="20"/>
              </w:rPr>
              <w:t>30.06.2014.</w:t>
            </w:r>
          </w:p>
          <w:p>
            <w:pPr>
              <w:pStyle w:val="TableParagraph"/>
              <w:spacing w:before="90"/>
              <w:ind w:left="29"/>
              <w:jc w:val="center"/>
              <w:rPr>
                <w:sz w:val="18"/>
              </w:rPr>
            </w:pPr>
            <w:r>
              <w:rPr>
                <w:w w:val="100"/>
                <w:sz w:val="18"/>
              </w:rPr>
              <w:t>6</w:t>
            </w:r>
          </w:p>
        </w:tc>
        <w:tc>
          <w:tcPr>
            <w:tcW w:w="1116"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268" w:right="250"/>
              <w:jc w:val="center"/>
              <w:rPr>
                <w:sz w:val="20"/>
              </w:rPr>
            </w:pPr>
            <w:r>
              <w:rPr>
                <w:w w:val="95"/>
                <w:sz w:val="20"/>
              </w:rPr>
              <w:t>Indeks </w:t>
            </w:r>
            <w:r>
              <w:rPr>
                <w:sz w:val="20"/>
              </w:rPr>
              <w:t>6/3</w:t>
            </w:r>
          </w:p>
          <w:p>
            <w:pPr>
              <w:pStyle w:val="TableParagraph"/>
              <w:spacing w:before="89"/>
              <w:ind w:left="20"/>
              <w:jc w:val="center"/>
              <w:rPr>
                <w:sz w:val="18"/>
              </w:rPr>
            </w:pPr>
            <w:r>
              <w:rPr>
                <w:w w:val="100"/>
                <w:sz w:val="18"/>
              </w:rPr>
              <w:t>7</w:t>
            </w:r>
          </w:p>
        </w:tc>
        <w:tc>
          <w:tcPr>
            <w:tcW w:w="1120"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9" w:right="267"/>
              <w:jc w:val="center"/>
              <w:rPr>
                <w:sz w:val="20"/>
              </w:rPr>
            </w:pPr>
            <w:r>
              <w:rPr>
                <w:w w:val="95"/>
                <w:sz w:val="20"/>
              </w:rPr>
              <w:t>Indeks </w:t>
            </w:r>
            <w:r>
              <w:rPr>
                <w:sz w:val="20"/>
              </w:rPr>
              <w:t>6/5</w:t>
            </w:r>
          </w:p>
          <w:p>
            <w:pPr>
              <w:pStyle w:val="TableParagraph"/>
              <w:spacing w:before="89"/>
              <w:ind w:right="3"/>
              <w:jc w:val="center"/>
              <w:rPr>
                <w:sz w:val="18"/>
              </w:rPr>
            </w:pPr>
            <w:r>
              <w:rPr>
                <w:w w:val="100"/>
                <w:sz w:val="18"/>
              </w:rPr>
              <w:t>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4223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Oprema za održavanje i zaštitu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67"/>
              <w:rPr>
                <w:sz w:val="18"/>
              </w:rPr>
            </w:pPr>
            <w:r>
              <w:rPr>
                <w:sz w:val="18"/>
              </w:rPr>
              <w:t>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4227</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Uređaji, strojevi i oprema za ostale namjene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2"/>
              <w:rPr>
                <w:sz w:val="18"/>
              </w:rPr>
            </w:pPr>
            <w:r>
              <w:rPr>
                <w:sz w:val="18"/>
              </w:rPr>
              <w:t>35.340,75</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72.000,00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203,73%</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424</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Knjige, umjetnička djela i ostale izložbene vrijednosti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4.266,04</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143.500,00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143.500,00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44.998,52</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1054,81%</w:t>
            </w:r>
          </w:p>
        </w:tc>
        <w:tc>
          <w:tcPr>
            <w:tcW w:w="1120" w:type="dxa"/>
            <w:tcBorders>
              <w:top w:val="single" w:sz="8" w:space="0" w:color="000000"/>
              <w:left w:val="single" w:sz="2" w:space="0" w:color="000000"/>
              <w:bottom w:val="single" w:sz="8" w:space="0" w:color="000000"/>
              <w:right w:val="nil"/>
            </w:tcBorders>
          </w:tcPr>
          <w:p>
            <w:pPr>
              <w:pStyle w:val="TableParagraph"/>
              <w:ind w:right="31"/>
              <w:rPr>
                <w:sz w:val="16"/>
              </w:rPr>
            </w:pPr>
            <w:r>
              <w:rPr>
                <w:sz w:val="16"/>
              </w:rPr>
              <w:t>31,36%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4241</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Knjige u knjižnicama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4.266,04</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44.998,52</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5"/>
              <w:rPr>
                <w:sz w:val="16"/>
              </w:rPr>
            </w:pPr>
            <w:r>
              <w:rPr>
                <w:sz w:val="16"/>
              </w:rPr>
              <w:t>1054,81%</w:t>
            </w: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479"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4242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Umjetnička djela (izložena u galerijama, muzejima i slično)</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67"/>
              <w:rPr>
                <w:sz w:val="18"/>
              </w:rPr>
            </w:pPr>
            <w:r>
              <w:rPr>
                <w:sz w:val="18"/>
              </w:rPr>
              <w:t>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4243</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Muzejski izlošci i predmeti prirodnih rijetkosti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67"/>
              <w:rPr>
                <w:sz w:val="18"/>
              </w:rPr>
            </w:pPr>
            <w:r>
              <w:rPr>
                <w:sz w:val="18"/>
              </w:rPr>
              <w:t>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3"/>
              <w:rPr>
                <w:sz w:val="18"/>
              </w:rPr>
            </w:pPr>
            <w:r>
              <w:rPr>
                <w:sz w:val="18"/>
              </w:rPr>
              <w:t>426</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110.070,00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240.000,00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89"/>
              <w:rPr>
                <w:sz w:val="18"/>
              </w:rPr>
            </w:pPr>
            <w:r>
              <w:rPr>
                <w:sz w:val="18"/>
              </w:rPr>
              <w:t>240.000,00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75"/>
              <w:rPr>
                <w:sz w:val="18"/>
              </w:rPr>
            </w:pPr>
            <w:r>
              <w:rPr>
                <w:sz w:val="18"/>
              </w:rPr>
              <w:t>8.845,00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ind w:right="28"/>
              <w:rPr>
                <w:sz w:val="16"/>
              </w:rPr>
            </w:pPr>
            <w:r>
              <w:rPr>
                <w:sz w:val="16"/>
              </w:rPr>
              <w:t>8,04%</w:t>
            </w:r>
          </w:p>
        </w:tc>
        <w:tc>
          <w:tcPr>
            <w:tcW w:w="1120" w:type="dxa"/>
            <w:tcBorders>
              <w:top w:val="single" w:sz="8" w:space="0" w:color="000000"/>
              <w:left w:val="single" w:sz="2" w:space="0" w:color="000000"/>
              <w:bottom w:val="single" w:sz="8" w:space="0" w:color="000000"/>
              <w:right w:val="nil"/>
            </w:tcBorders>
          </w:tcPr>
          <w:p>
            <w:pPr>
              <w:pStyle w:val="TableParagraph"/>
              <w:ind w:right="32"/>
              <w:rPr>
                <w:sz w:val="16"/>
              </w:rPr>
            </w:pPr>
            <w:r>
              <w:rPr>
                <w:sz w:val="16"/>
              </w:rPr>
              <w:t>3,69%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5"/>
              <w:rPr>
                <w:sz w:val="18"/>
              </w:rPr>
            </w:pPr>
            <w:r>
              <w:rPr>
                <w:sz w:val="18"/>
              </w:rPr>
              <w:t>4262</w:t>
            </w:r>
          </w:p>
        </w:tc>
        <w:tc>
          <w:tcPr>
            <w:tcW w:w="399"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Ulaganja u računalne programe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74"/>
              <w:rPr>
                <w:sz w:val="18"/>
              </w:rPr>
            </w:pPr>
            <w:r>
              <w:rPr>
                <w:sz w:val="18"/>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9"/>
              <w:ind w:right="67"/>
              <w:rPr>
                <w:sz w:val="18"/>
              </w:rPr>
            </w:pPr>
            <w:r>
              <w:rPr>
                <w:sz w:val="18"/>
              </w:rPr>
              <w:t>0,00</w:t>
            </w:r>
          </w:p>
        </w:tc>
        <w:tc>
          <w:tcPr>
            <w:tcW w:w="1116"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1120"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71" w:hRule="atLeast"/>
        </w:trPr>
        <w:tc>
          <w:tcPr>
            <w:tcW w:w="734" w:type="dxa"/>
            <w:tcBorders>
              <w:top w:val="single" w:sz="8" w:space="0" w:color="000000"/>
              <w:left w:val="nil"/>
              <w:right w:val="single" w:sz="2" w:space="0" w:color="000000"/>
            </w:tcBorders>
          </w:tcPr>
          <w:p>
            <w:pPr>
              <w:pStyle w:val="TableParagraph"/>
              <w:spacing w:before="9"/>
              <w:ind w:right="15"/>
              <w:rPr>
                <w:sz w:val="18"/>
              </w:rPr>
            </w:pPr>
            <w:r>
              <w:rPr>
                <w:sz w:val="18"/>
              </w:rPr>
              <w:t>4264</w:t>
            </w:r>
          </w:p>
        </w:tc>
        <w:tc>
          <w:tcPr>
            <w:tcW w:w="399"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4672" w:type="dxa"/>
            <w:tcBorders>
              <w:top w:val="single" w:sz="8" w:space="0" w:color="000000"/>
              <w:left w:val="single" w:sz="2" w:space="0" w:color="000000"/>
              <w:right w:val="single" w:sz="2" w:space="0" w:color="000000"/>
            </w:tcBorders>
          </w:tcPr>
          <w:p>
            <w:pPr>
              <w:pStyle w:val="TableParagraph"/>
              <w:spacing w:before="9"/>
              <w:ind w:left="92"/>
              <w:jc w:val="left"/>
              <w:rPr>
                <w:sz w:val="18"/>
              </w:rPr>
            </w:pPr>
            <w:r>
              <w:rPr>
                <w:sz w:val="18"/>
              </w:rPr>
              <w:t>Ostala nematerijalna proizvedena imovina</w:t>
            </w:r>
          </w:p>
        </w:tc>
        <w:tc>
          <w:tcPr>
            <w:tcW w:w="1833" w:type="dxa"/>
            <w:tcBorders>
              <w:top w:val="single" w:sz="8" w:space="0" w:color="000000"/>
              <w:left w:val="single" w:sz="2" w:space="0" w:color="000000"/>
              <w:right w:val="single" w:sz="2" w:space="0" w:color="000000"/>
            </w:tcBorders>
          </w:tcPr>
          <w:p>
            <w:pPr>
              <w:pStyle w:val="TableParagraph"/>
              <w:spacing w:before="9"/>
              <w:ind w:right="84"/>
              <w:rPr>
                <w:sz w:val="18"/>
              </w:rPr>
            </w:pPr>
            <w:r>
              <w:rPr>
                <w:sz w:val="18"/>
              </w:rPr>
              <w:t>110.070,00</w:t>
            </w:r>
          </w:p>
        </w:tc>
        <w:tc>
          <w:tcPr>
            <w:tcW w:w="1831"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1831" w:type="dxa"/>
            <w:tcBorders>
              <w:top w:val="single" w:sz="8" w:space="0" w:color="000000"/>
              <w:left w:val="single" w:sz="2" w:space="0" w:color="000000"/>
              <w:right w:val="single" w:sz="2" w:space="0" w:color="000000"/>
            </w:tcBorders>
          </w:tcPr>
          <w:p>
            <w:pPr>
              <w:pStyle w:val="TableParagraph"/>
              <w:spacing w:before="9"/>
              <w:ind w:right="74"/>
              <w:rPr>
                <w:sz w:val="18"/>
              </w:rPr>
            </w:pPr>
            <w:r>
              <w:rPr>
                <w:sz w:val="18"/>
              </w:rPr>
              <w:t>8.845,00</w:t>
            </w:r>
          </w:p>
        </w:tc>
        <w:tc>
          <w:tcPr>
            <w:tcW w:w="1116" w:type="dxa"/>
            <w:tcBorders>
              <w:top w:val="single" w:sz="8" w:space="0" w:color="000000"/>
              <w:left w:val="single" w:sz="2" w:space="0" w:color="000000"/>
              <w:right w:val="single" w:sz="2" w:space="0" w:color="000000"/>
            </w:tcBorders>
          </w:tcPr>
          <w:p>
            <w:pPr>
              <w:pStyle w:val="TableParagraph"/>
              <w:ind w:right="28"/>
              <w:rPr>
                <w:sz w:val="16"/>
              </w:rPr>
            </w:pPr>
            <w:r>
              <w:rPr>
                <w:sz w:val="16"/>
              </w:rPr>
              <w:t>8,04%</w:t>
            </w:r>
          </w:p>
        </w:tc>
        <w:tc>
          <w:tcPr>
            <w:tcW w:w="1120" w:type="dxa"/>
            <w:tcBorders>
              <w:top w:val="single" w:sz="8" w:space="0" w:color="000000"/>
              <w:left w:val="single" w:sz="2" w:space="0" w:color="000000"/>
              <w:right w:val="nil"/>
            </w:tcBorders>
          </w:tcPr>
          <w:p>
            <w:pPr>
              <w:pStyle w:val="TableParagraph"/>
              <w:spacing w:before="0"/>
              <w:jc w:val="left"/>
              <w:rPr>
                <w:rFonts w:ascii="Times New Roman"/>
                <w:sz w:val="18"/>
              </w:rPr>
            </w:pPr>
          </w:p>
        </w:tc>
      </w:tr>
    </w:tbl>
    <w:p>
      <w:pPr>
        <w:pStyle w:val="BodyText"/>
        <w:rPr>
          <w:sz w:val="20"/>
        </w:rPr>
      </w:pPr>
    </w:p>
    <w:p>
      <w:pPr>
        <w:pStyle w:val="BodyText"/>
        <w:spacing w:before="9"/>
        <w:rPr>
          <w:sz w:val="17"/>
        </w:rPr>
      </w:pPr>
    </w:p>
    <w:tbl>
      <w:tblPr>
        <w:tblW w:w="0" w:type="auto"/>
        <w:jc w:val="left"/>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08"/>
        <w:gridCol w:w="1831"/>
        <w:gridCol w:w="1831"/>
        <w:gridCol w:w="1831"/>
        <w:gridCol w:w="1831"/>
        <w:gridCol w:w="1116"/>
        <w:gridCol w:w="1121"/>
      </w:tblGrid>
      <w:tr>
        <w:trPr>
          <w:trHeight w:val="431" w:hRule="atLeast"/>
        </w:trPr>
        <w:tc>
          <w:tcPr>
            <w:tcW w:w="5808" w:type="dxa"/>
            <w:tcBorders>
              <w:left w:val="nil"/>
              <w:right w:val="single" w:sz="2" w:space="0" w:color="000000"/>
            </w:tcBorders>
            <w:shd w:val="clear" w:color="auto" w:fill="C0C0C0"/>
          </w:tcPr>
          <w:p>
            <w:pPr>
              <w:pStyle w:val="TableParagraph"/>
              <w:spacing w:before="69"/>
              <w:ind w:left="1291"/>
              <w:jc w:val="left"/>
              <w:rPr>
                <w:rFonts w:ascii="Arial"/>
                <w:sz w:val="24"/>
              </w:rPr>
            </w:pPr>
            <w:r>
              <w:rPr>
                <w:rFonts w:ascii="Arial"/>
                <w:sz w:val="24"/>
              </w:rPr>
              <w:t>UKUPNO</w:t>
            </w:r>
          </w:p>
        </w:tc>
        <w:tc>
          <w:tcPr>
            <w:tcW w:w="1831" w:type="dxa"/>
            <w:tcBorders>
              <w:left w:val="single" w:sz="2" w:space="0" w:color="000000"/>
              <w:right w:val="single" w:sz="2" w:space="0" w:color="000000"/>
            </w:tcBorders>
            <w:shd w:val="clear" w:color="auto" w:fill="C0C0C0"/>
          </w:tcPr>
          <w:p>
            <w:pPr>
              <w:pStyle w:val="TableParagraph"/>
              <w:spacing w:before="74"/>
              <w:ind w:left="496"/>
              <w:jc w:val="left"/>
              <w:rPr>
                <w:rFonts w:ascii="Arial"/>
                <w:sz w:val="24"/>
              </w:rPr>
            </w:pPr>
            <w:r>
              <w:rPr>
                <w:rFonts w:ascii="Arial"/>
                <w:w w:val="90"/>
                <w:sz w:val="24"/>
              </w:rPr>
              <w:t>6.531.411,12</w:t>
            </w:r>
          </w:p>
        </w:tc>
        <w:tc>
          <w:tcPr>
            <w:tcW w:w="1831" w:type="dxa"/>
            <w:tcBorders>
              <w:left w:val="single" w:sz="2" w:space="0" w:color="000000"/>
              <w:right w:val="single" w:sz="2" w:space="0" w:color="000000"/>
            </w:tcBorders>
            <w:shd w:val="clear" w:color="auto" w:fill="C0C0C0"/>
          </w:tcPr>
          <w:p>
            <w:pPr>
              <w:pStyle w:val="TableParagraph"/>
              <w:spacing w:before="74"/>
              <w:ind w:left="386"/>
              <w:jc w:val="left"/>
              <w:rPr>
                <w:rFonts w:ascii="Arial"/>
                <w:sz w:val="24"/>
              </w:rPr>
            </w:pPr>
            <w:r>
              <w:rPr>
                <w:rFonts w:ascii="Arial"/>
                <w:w w:val="90"/>
                <w:sz w:val="24"/>
              </w:rPr>
              <w:t>20.418.660,87</w:t>
            </w:r>
          </w:p>
        </w:tc>
        <w:tc>
          <w:tcPr>
            <w:tcW w:w="1831" w:type="dxa"/>
            <w:tcBorders>
              <w:left w:val="single" w:sz="2" w:space="0" w:color="000000"/>
              <w:right w:val="single" w:sz="2" w:space="0" w:color="000000"/>
            </w:tcBorders>
            <w:shd w:val="clear" w:color="auto" w:fill="C0C0C0"/>
          </w:tcPr>
          <w:p>
            <w:pPr>
              <w:pStyle w:val="TableParagraph"/>
              <w:spacing w:before="69"/>
              <w:ind w:left="372"/>
              <w:jc w:val="left"/>
              <w:rPr>
                <w:rFonts w:ascii="Arial"/>
                <w:sz w:val="24"/>
              </w:rPr>
            </w:pPr>
            <w:r>
              <w:rPr>
                <w:rFonts w:ascii="Arial"/>
                <w:w w:val="90"/>
                <w:sz w:val="24"/>
              </w:rPr>
              <w:t>20.418.660,87</w:t>
            </w:r>
          </w:p>
        </w:tc>
        <w:tc>
          <w:tcPr>
            <w:tcW w:w="1831" w:type="dxa"/>
            <w:tcBorders>
              <w:left w:val="single" w:sz="2" w:space="0" w:color="000000"/>
              <w:right w:val="single" w:sz="2" w:space="0" w:color="000000"/>
            </w:tcBorders>
            <w:shd w:val="clear" w:color="auto" w:fill="C0C0C0"/>
          </w:tcPr>
          <w:p>
            <w:pPr>
              <w:pStyle w:val="TableParagraph"/>
              <w:spacing w:before="74"/>
              <w:ind w:left="504"/>
              <w:jc w:val="left"/>
              <w:rPr>
                <w:rFonts w:ascii="Arial"/>
                <w:sz w:val="24"/>
              </w:rPr>
            </w:pPr>
            <w:r>
              <w:rPr>
                <w:rFonts w:ascii="Arial"/>
                <w:w w:val="90"/>
                <w:sz w:val="24"/>
              </w:rPr>
              <w:t>6.305.627,45</w:t>
            </w:r>
          </w:p>
        </w:tc>
        <w:tc>
          <w:tcPr>
            <w:tcW w:w="1116" w:type="dxa"/>
            <w:tcBorders>
              <w:left w:val="single" w:sz="2" w:space="0" w:color="000000"/>
              <w:right w:val="single" w:sz="2" w:space="0" w:color="000000"/>
            </w:tcBorders>
            <w:shd w:val="clear" w:color="auto" w:fill="C0C0C0"/>
          </w:tcPr>
          <w:p>
            <w:pPr>
              <w:pStyle w:val="TableParagraph"/>
              <w:spacing w:before="79"/>
              <w:ind w:left="341" w:right="-15"/>
              <w:jc w:val="left"/>
              <w:rPr>
                <w:rFonts w:ascii="Arial"/>
                <w:sz w:val="24"/>
              </w:rPr>
            </w:pPr>
            <w:r>
              <w:rPr>
                <w:rFonts w:ascii="Arial"/>
                <w:w w:val="95"/>
                <w:sz w:val="24"/>
              </w:rPr>
              <w:t>96,54%</w:t>
            </w:r>
          </w:p>
        </w:tc>
        <w:tc>
          <w:tcPr>
            <w:tcW w:w="1121" w:type="dxa"/>
            <w:tcBorders>
              <w:left w:val="single" w:sz="2" w:space="0" w:color="000000"/>
              <w:right w:val="nil"/>
            </w:tcBorders>
            <w:shd w:val="clear" w:color="auto" w:fill="C0C0C0"/>
          </w:tcPr>
          <w:p>
            <w:pPr>
              <w:pStyle w:val="TableParagraph"/>
              <w:spacing w:before="79"/>
              <w:ind w:left="322"/>
              <w:jc w:val="left"/>
              <w:rPr>
                <w:rFonts w:ascii="Arial"/>
                <w:sz w:val="24"/>
              </w:rPr>
            </w:pPr>
            <w:r>
              <w:rPr>
                <w:rFonts w:ascii="Arial"/>
                <w:w w:val="95"/>
                <w:sz w:val="24"/>
              </w:rPr>
              <w:t>30,88%</w:t>
            </w:r>
          </w:p>
        </w:tc>
      </w:tr>
    </w:tbl>
    <w:p>
      <w:pPr>
        <w:spacing w:after="0"/>
        <w:jc w:val="left"/>
        <w:rPr>
          <w:rFonts w:ascii="Arial"/>
          <w:sz w:val="24"/>
        </w:rPr>
        <w:sectPr>
          <w:pgSz w:w="16840" w:h="11900" w:orient="landscape"/>
          <w:pgMar w:header="0" w:footer="718" w:top="1100" w:bottom="900" w:left="740" w:right="340"/>
        </w:sectPr>
      </w:pPr>
    </w:p>
    <w:p>
      <w:pPr>
        <w:pStyle w:val="BodyText"/>
        <w:rPr>
          <w:sz w:val="20"/>
        </w:rPr>
      </w:pPr>
      <w:r>
        <w:rPr/>
        <w:pict>
          <v:shape style="position:absolute;margin-left:438.303986pt;margin-top:-173.692993pt;width:92.55pt;height:689.7pt;mso-position-horizontal-relative:page;mso-position-vertical-relative:page;z-index:15729664" type="#_x0000_t202" fillcolor="#ffffff" stroked="true" strokeweight="1pt" strokecolor="#000000">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26"/>
                    </w:rPr>
                  </w:pPr>
                </w:p>
                <w:p>
                  <w:pPr>
                    <w:spacing w:before="0"/>
                    <w:ind w:left="-1426" w:right="0" w:firstLine="0"/>
                    <w:jc w:val="left"/>
                    <w:rPr>
                      <w:rFonts w:ascii="Times New Roman"/>
                      <w:sz w:val="22"/>
                    </w:rPr>
                  </w:pPr>
                  <w:r>
                    <w:rPr>
                      <w:rFonts w:ascii="Times New Roman"/>
                      <w:sz w:val="22"/>
                    </w:rPr>
                    <w:t>II POSEBNI DIO</w:t>
                  </w:r>
                </w:p>
                <w:p>
                  <w:pPr>
                    <w:pStyle w:val="BodyText"/>
                    <w:spacing w:before="6"/>
                    <w:rPr>
                      <w:sz w:val="32"/>
                    </w:rPr>
                  </w:pPr>
                </w:p>
                <w:p>
                  <w:pPr>
                    <w:spacing w:before="0"/>
                    <w:ind w:left="-977" w:right="0" w:firstLine="0"/>
                    <w:jc w:val="left"/>
                    <w:rPr>
                      <w:rFonts w:ascii="Times New Roman" w:hAnsi="Times New Roman"/>
                      <w:sz w:val="22"/>
                    </w:rPr>
                  </w:pPr>
                  <w:r>
                    <w:rPr>
                      <w:rFonts w:ascii="Palatino Linotype" w:hAnsi="Palatino Linotype"/>
                      <w:sz w:val="22"/>
                    </w:rPr>
                    <w:t>Č</w:t>
                  </w:r>
                  <w:r>
                    <w:rPr>
                      <w:rFonts w:ascii="Times New Roman" w:hAnsi="Times New Roman"/>
                      <w:sz w:val="22"/>
                    </w:rPr>
                    <w:t>lanak 3.</w:t>
                  </w:r>
                </w:p>
                <w:p>
                  <w:pPr>
                    <w:pStyle w:val="BodyText"/>
                    <w:spacing w:before="10"/>
                    <w:rPr>
                      <w:sz w:val="30"/>
                    </w:rPr>
                  </w:pPr>
                </w:p>
                <w:p>
                  <w:pPr>
                    <w:spacing w:before="0"/>
                    <w:ind w:left="-7186" w:right="-4666" w:firstLine="0"/>
                    <w:jc w:val="left"/>
                    <w:rPr>
                      <w:rFonts w:ascii="Times New Roman" w:hAnsi="Times New Roman"/>
                      <w:sz w:val="22"/>
                    </w:rPr>
                  </w:pPr>
                  <w:r>
                    <w:rPr>
                      <w:rFonts w:ascii="Times New Roman" w:hAnsi="Times New Roman"/>
                      <w:sz w:val="22"/>
                    </w:rPr>
                    <w:t>Izvršenje</w:t>
                  </w:r>
                  <w:r>
                    <w:rPr>
                      <w:rFonts w:ascii="Times New Roman" w:hAnsi="Times New Roman"/>
                      <w:spacing w:val="-9"/>
                      <w:sz w:val="22"/>
                    </w:rPr>
                    <w:t> </w:t>
                  </w:r>
                  <w:r>
                    <w:rPr>
                      <w:rFonts w:ascii="Times New Roman" w:hAnsi="Times New Roman"/>
                      <w:sz w:val="22"/>
                    </w:rPr>
                    <w:t>rashoda</w:t>
                  </w:r>
                  <w:r>
                    <w:rPr>
                      <w:rFonts w:ascii="Times New Roman" w:hAnsi="Times New Roman"/>
                      <w:spacing w:val="-9"/>
                      <w:sz w:val="22"/>
                    </w:rPr>
                    <w:t> </w:t>
                  </w:r>
                  <w:r>
                    <w:rPr>
                      <w:rFonts w:ascii="Times New Roman" w:hAnsi="Times New Roman"/>
                      <w:sz w:val="22"/>
                    </w:rPr>
                    <w:t>i</w:t>
                  </w:r>
                  <w:r>
                    <w:rPr>
                      <w:rFonts w:ascii="Times New Roman" w:hAnsi="Times New Roman"/>
                      <w:spacing w:val="-9"/>
                      <w:sz w:val="22"/>
                    </w:rPr>
                    <w:t> </w:t>
                  </w:r>
                  <w:r>
                    <w:rPr>
                      <w:rFonts w:ascii="Times New Roman" w:hAnsi="Times New Roman"/>
                      <w:sz w:val="22"/>
                    </w:rPr>
                    <w:t>izdataka</w:t>
                  </w:r>
                  <w:r>
                    <w:rPr>
                      <w:rFonts w:ascii="Times New Roman" w:hAnsi="Times New Roman"/>
                      <w:spacing w:val="-9"/>
                      <w:sz w:val="22"/>
                    </w:rPr>
                    <w:t> </w:t>
                  </w:r>
                  <w:r>
                    <w:rPr>
                      <w:rFonts w:ascii="Times New Roman" w:hAnsi="Times New Roman"/>
                      <w:sz w:val="22"/>
                    </w:rPr>
                    <w:t>u</w:t>
                  </w:r>
                  <w:r>
                    <w:rPr>
                      <w:rFonts w:ascii="Times New Roman" w:hAnsi="Times New Roman"/>
                      <w:spacing w:val="-9"/>
                      <w:sz w:val="22"/>
                    </w:rPr>
                    <w:t> </w:t>
                  </w:r>
                  <w:r>
                    <w:rPr>
                      <w:rFonts w:ascii="Times New Roman" w:hAnsi="Times New Roman"/>
                      <w:sz w:val="22"/>
                    </w:rPr>
                    <w:t>prvom</w:t>
                  </w:r>
                  <w:r>
                    <w:rPr>
                      <w:rFonts w:ascii="Times New Roman" w:hAnsi="Times New Roman"/>
                      <w:spacing w:val="-9"/>
                      <w:sz w:val="22"/>
                    </w:rPr>
                    <w:t> </w:t>
                  </w:r>
                  <w:r>
                    <w:rPr>
                      <w:rFonts w:ascii="Times New Roman" w:hAnsi="Times New Roman"/>
                      <w:sz w:val="22"/>
                    </w:rPr>
                    <w:t>polugodištu</w:t>
                  </w:r>
                  <w:r>
                    <w:rPr>
                      <w:rFonts w:ascii="Times New Roman" w:hAnsi="Times New Roman"/>
                      <w:spacing w:val="-8"/>
                      <w:sz w:val="22"/>
                    </w:rPr>
                    <w:t> </w:t>
                  </w:r>
                  <w:r>
                    <w:rPr>
                      <w:rFonts w:ascii="Times New Roman" w:hAnsi="Times New Roman"/>
                      <w:sz w:val="22"/>
                    </w:rPr>
                    <w:t>2014.</w:t>
                  </w:r>
                  <w:r>
                    <w:rPr>
                      <w:rFonts w:ascii="Times New Roman" w:hAnsi="Times New Roman"/>
                      <w:spacing w:val="-9"/>
                      <w:sz w:val="22"/>
                    </w:rPr>
                    <w:t> </w:t>
                  </w:r>
                  <w:r>
                    <w:rPr>
                      <w:rFonts w:ascii="Times New Roman" w:hAnsi="Times New Roman"/>
                      <w:sz w:val="22"/>
                    </w:rPr>
                    <w:t>godine,</w:t>
                  </w:r>
                  <w:r>
                    <w:rPr>
                      <w:rFonts w:ascii="Times New Roman" w:hAnsi="Times New Roman"/>
                      <w:spacing w:val="-9"/>
                      <w:sz w:val="22"/>
                    </w:rPr>
                    <w:t> </w:t>
                  </w:r>
                  <w:r>
                    <w:rPr>
                      <w:rFonts w:ascii="Times New Roman" w:hAnsi="Times New Roman"/>
                      <w:sz w:val="22"/>
                    </w:rPr>
                    <w:t>iskazano</w:t>
                  </w:r>
                  <w:r>
                    <w:rPr>
                      <w:rFonts w:ascii="Times New Roman" w:hAnsi="Times New Roman"/>
                      <w:spacing w:val="-9"/>
                      <w:sz w:val="22"/>
                    </w:rPr>
                    <w:t> </w:t>
                  </w:r>
                  <w:r>
                    <w:rPr>
                      <w:rFonts w:ascii="Times New Roman" w:hAnsi="Times New Roman"/>
                      <w:sz w:val="22"/>
                    </w:rPr>
                    <w:t>po</w:t>
                  </w:r>
                  <w:r>
                    <w:rPr>
                      <w:rFonts w:ascii="Times New Roman" w:hAnsi="Times New Roman"/>
                      <w:spacing w:val="-9"/>
                      <w:sz w:val="22"/>
                    </w:rPr>
                    <w:t> </w:t>
                  </w:r>
                  <w:r>
                    <w:rPr>
                      <w:rFonts w:ascii="Times New Roman" w:hAnsi="Times New Roman"/>
                      <w:sz w:val="22"/>
                    </w:rPr>
                    <w:t>organizacijskoj,</w:t>
                  </w:r>
                  <w:r>
                    <w:rPr>
                      <w:rFonts w:ascii="Times New Roman" w:hAnsi="Times New Roman"/>
                      <w:spacing w:val="-9"/>
                      <w:sz w:val="22"/>
                    </w:rPr>
                    <w:t> </w:t>
                  </w:r>
                  <w:r>
                    <w:rPr>
                      <w:rFonts w:ascii="Times New Roman" w:hAnsi="Times New Roman"/>
                      <w:sz w:val="22"/>
                    </w:rPr>
                    <w:t>ekonomskoj</w:t>
                  </w:r>
                  <w:r>
                    <w:rPr>
                      <w:rFonts w:ascii="Times New Roman" w:hAnsi="Times New Roman"/>
                      <w:spacing w:val="-9"/>
                      <w:sz w:val="22"/>
                    </w:rPr>
                    <w:t> </w:t>
                  </w:r>
                  <w:r>
                    <w:rPr>
                      <w:rFonts w:ascii="Times New Roman" w:hAnsi="Times New Roman"/>
                      <w:sz w:val="22"/>
                    </w:rPr>
                    <w:t>i</w:t>
                  </w:r>
                  <w:r>
                    <w:rPr>
                      <w:rFonts w:ascii="Times New Roman" w:hAnsi="Times New Roman"/>
                      <w:spacing w:val="-8"/>
                      <w:sz w:val="22"/>
                    </w:rPr>
                    <w:t> </w:t>
                  </w:r>
                  <w:r>
                    <w:rPr>
                      <w:rFonts w:ascii="Times New Roman" w:hAnsi="Times New Roman"/>
                      <w:sz w:val="22"/>
                    </w:rPr>
                    <w:t>programskoj</w:t>
                  </w:r>
                  <w:r>
                    <w:rPr>
                      <w:rFonts w:ascii="Times New Roman" w:hAnsi="Times New Roman"/>
                      <w:spacing w:val="-9"/>
                      <w:sz w:val="22"/>
                    </w:rPr>
                    <w:t> </w:t>
                  </w:r>
                  <w:r>
                    <w:rPr>
                      <w:rFonts w:ascii="Times New Roman" w:hAnsi="Times New Roman"/>
                      <w:sz w:val="22"/>
                    </w:rPr>
                    <w:t>klasifikaciji</w:t>
                  </w:r>
                  <w:r>
                    <w:rPr>
                      <w:rFonts w:ascii="Times New Roman" w:hAnsi="Times New Roman"/>
                      <w:spacing w:val="-9"/>
                      <w:sz w:val="22"/>
                    </w:rPr>
                    <w:t> </w:t>
                  </w:r>
                  <w:r>
                    <w:rPr>
                      <w:rFonts w:ascii="Times New Roman" w:hAnsi="Times New Roman"/>
                      <w:sz w:val="22"/>
                    </w:rPr>
                    <w:t>utvr</w:t>
                  </w:r>
                  <w:r>
                    <w:rPr>
                      <w:rFonts w:ascii="Palatino Linotype" w:hAnsi="Palatino Linotype"/>
                      <w:sz w:val="22"/>
                    </w:rPr>
                    <w:t>đ</w:t>
                  </w:r>
                  <w:r>
                    <w:rPr>
                      <w:rFonts w:ascii="Times New Roman" w:hAnsi="Times New Roman"/>
                      <w:sz w:val="22"/>
                    </w:rPr>
                    <w:t>uje</w:t>
                  </w:r>
                  <w:r>
                    <w:rPr>
                      <w:rFonts w:ascii="Times New Roman" w:hAnsi="Times New Roman"/>
                      <w:spacing w:val="-9"/>
                      <w:sz w:val="22"/>
                    </w:rPr>
                    <w:t> </w:t>
                  </w:r>
                  <w:r>
                    <w:rPr>
                      <w:rFonts w:ascii="Times New Roman" w:hAnsi="Times New Roman"/>
                      <w:sz w:val="22"/>
                    </w:rPr>
                    <w:t>se</w:t>
                  </w:r>
                  <w:r>
                    <w:rPr>
                      <w:rFonts w:ascii="Times New Roman" w:hAnsi="Times New Roman"/>
                      <w:spacing w:val="-9"/>
                      <w:sz w:val="22"/>
                    </w:rPr>
                    <w:t> </w:t>
                  </w:r>
                  <w:r>
                    <w:rPr>
                      <w:rFonts w:ascii="Times New Roman" w:hAnsi="Times New Roman"/>
                      <w:sz w:val="22"/>
                    </w:rPr>
                    <w:t>kako</w:t>
                  </w:r>
                  <w:r>
                    <w:rPr>
                      <w:rFonts w:ascii="Times New Roman" w:hAnsi="Times New Roman"/>
                      <w:spacing w:val="-9"/>
                      <w:sz w:val="22"/>
                    </w:rPr>
                    <w:t> </w:t>
                  </w:r>
                  <w:r>
                    <w:rPr>
                      <w:rFonts w:ascii="Times New Roman" w:hAnsi="Times New Roman"/>
                      <w:sz w:val="22"/>
                    </w:rPr>
                    <w:t>slijedi:</w:t>
                  </w:r>
                </w:p>
              </w:txbxContent>
            </v:textbox>
            <v:fill opacity="45875f" type="gradient"/>
            <v:stroke dashstyle="dash"/>
            <w10:wrap type="none"/>
          </v:shape>
        </w:pict>
      </w:r>
    </w:p>
    <w:p>
      <w:pPr>
        <w:pStyle w:val="BodyText"/>
        <w:rPr>
          <w:sz w:val="20"/>
        </w:rPr>
      </w:pPr>
    </w:p>
    <w:p>
      <w:pPr>
        <w:pStyle w:val="BodyText"/>
        <w:rPr>
          <w:sz w:val="20"/>
        </w:rPr>
      </w:pPr>
    </w:p>
    <w:p>
      <w:pPr>
        <w:pStyle w:val="BodyText"/>
        <w:rPr>
          <w:sz w:val="20"/>
        </w:rPr>
      </w:pPr>
    </w:p>
    <w:p>
      <w:pPr>
        <w:pStyle w:val="BodyText"/>
        <w:spacing w:before="5" w:after="1"/>
        <w:rPr>
          <w:sz w:val="18"/>
        </w:rPr>
      </w:pPr>
    </w:p>
    <w:tbl>
      <w:tblPr>
        <w:tblW w:w="0" w:type="auto"/>
        <w:jc w:val="left"/>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0"/>
        <w:gridCol w:w="4673"/>
        <w:gridCol w:w="1833"/>
        <w:gridCol w:w="1832"/>
        <w:gridCol w:w="1832"/>
        <w:gridCol w:w="1832"/>
        <w:gridCol w:w="1117"/>
        <w:gridCol w:w="1121"/>
      </w:tblGrid>
      <w:tr>
        <w:trPr>
          <w:trHeight w:val="828" w:hRule="atLeast"/>
        </w:trPr>
        <w:tc>
          <w:tcPr>
            <w:tcW w:w="15374" w:type="dxa"/>
            <w:gridSpan w:val="9"/>
            <w:tcBorders>
              <w:left w:val="nil"/>
              <w:bottom w:val="single" w:sz="8" w:space="0" w:color="000000"/>
              <w:right w:val="nil"/>
            </w:tcBorders>
            <w:shd w:val="clear" w:color="auto" w:fill="C0C0C0"/>
          </w:tcPr>
          <w:p>
            <w:pPr>
              <w:pStyle w:val="TableParagraph"/>
              <w:spacing w:before="56"/>
              <w:ind w:left="1641"/>
              <w:jc w:val="left"/>
              <w:rPr>
                <w:rFonts w:ascii="Century" w:hAnsi="Century"/>
                <w:sz w:val="28"/>
              </w:rPr>
            </w:pPr>
            <w:r>
              <w:rPr>
                <w:rFonts w:ascii="Century" w:hAnsi="Century"/>
                <w:sz w:val="28"/>
              </w:rPr>
              <w:t>POLUGODIŠNJI IZVJEŠTAJ O IZVRŠENJU PRORAČUNA GRADA OZLJA ZA 2014. GODINU</w:t>
            </w:r>
          </w:p>
          <w:p>
            <w:pPr>
              <w:pStyle w:val="TableParagraph"/>
              <w:spacing w:before="32"/>
              <w:ind w:left="6348"/>
              <w:jc w:val="left"/>
              <w:rPr>
                <w:rFonts w:ascii="Lucida Sans Unicode" w:hAnsi="Lucida Sans Unicode"/>
                <w:sz w:val="22"/>
              </w:rPr>
            </w:pPr>
            <w:r>
              <w:rPr>
                <w:rFonts w:ascii="Lucida Sans Unicode" w:hAnsi="Lucida Sans Unicode"/>
                <w:sz w:val="22"/>
              </w:rPr>
              <w:t>B. RAČUN FINANCIRANJA</w:t>
            </w:r>
          </w:p>
        </w:tc>
      </w:tr>
      <w:tr>
        <w:trPr>
          <w:trHeight w:val="846" w:hRule="atLeast"/>
        </w:trPr>
        <w:tc>
          <w:tcPr>
            <w:tcW w:w="1134"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13"/>
              <w:ind w:left="232" w:right="229" w:hanging="49"/>
              <w:jc w:val="center"/>
              <w:rPr>
                <w:sz w:val="20"/>
              </w:rPr>
            </w:pPr>
            <w:r>
              <w:rPr>
                <w:sz w:val="20"/>
              </w:rPr>
              <w:t>Račun/ Pozicija</w:t>
            </w:r>
          </w:p>
          <w:p>
            <w:pPr>
              <w:pStyle w:val="TableParagraph"/>
              <w:spacing w:before="89"/>
              <w:ind w:left="13"/>
              <w:jc w:val="center"/>
              <w:rPr>
                <w:sz w:val="18"/>
              </w:rPr>
            </w:pPr>
            <w:r>
              <w:rPr>
                <w:w w:val="100"/>
                <w:sz w:val="18"/>
              </w:rPr>
              <w:t>1</w:t>
            </w:r>
          </w:p>
        </w:tc>
        <w:tc>
          <w:tcPr>
            <w:tcW w:w="467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2143" w:right="2098"/>
              <w:jc w:val="center"/>
              <w:rPr>
                <w:sz w:val="20"/>
              </w:rPr>
            </w:pPr>
            <w:r>
              <w:rPr>
                <w:sz w:val="20"/>
              </w:rPr>
              <w:t>Opis</w:t>
            </w:r>
          </w:p>
          <w:p>
            <w:pPr>
              <w:pStyle w:val="TableParagraph"/>
              <w:spacing w:before="2"/>
              <w:jc w:val="left"/>
              <w:rPr>
                <w:rFonts w:ascii="Times New Roman"/>
                <w:sz w:val="29"/>
              </w:rPr>
            </w:pPr>
          </w:p>
          <w:p>
            <w:pPr>
              <w:pStyle w:val="TableParagraph"/>
              <w:spacing w:before="0"/>
              <w:ind w:left="40"/>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8"/>
              <w:ind w:left="146" w:right="134"/>
              <w:jc w:val="center"/>
              <w:rPr>
                <w:sz w:val="20"/>
              </w:rPr>
            </w:pPr>
            <w:r>
              <w:rPr>
                <w:sz w:val="20"/>
              </w:rPr>
              <w:t>Izvršenje 01.01.-</w:t>
            </w:r>
          </w:p>
          <w:p>
            <w:pPr>
              <w:pStyle w:val="TableParagraph"/>
              <w:spacing w:line="241" w:lineRule="exact" w:before="0"/>
              <w:ind w:left="146" w:right="131"/>
              <w:jc w:val="center"/>
              <w:rPr>
                <w:sz w:val="20"/>
              </w:rPr>
            </w:pPr>
            <w:r>
              <w:rPr>
                <w:sz w:val="20"/>
              </w:rPr>
              <w:t>30.06.2013.</w:t>
            </w:r>
          </w:p>
          <w:p>
            <w:pPr>
              <w:pStyle w:val="TableParagraph"/>
              <w:spacing w:before="91"/>
              <w:ind w:left="14"/>
              <w:jc w:val="center"/>
              <w:rPr>
                <w:sz w:val="18"/>
              </w:rPr>
            </w:pPr>
            <w:r>
              <w:rPr>
                <w:w w:val="100"/>
                <w:sz w:val="18"/>
              </w:rPr>
              <w:t>3</w:t>
            </w:r>
          </w:p>
        </w:tc>
        <w:tc>
          <w:tcPr>
            <w:tcW w:w="183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2" w:right="135"/>
              <w:jc w:val="center"/>
              <w:rPr>
                <w:sz w:val="20"/>
              </w:rPr>
            </w:pPr>
            <w:r>
              <w:rPr>
                <w:sz w:val="20"/>
              </w:rPr>
              <w:t>Izvorni plan za 2014. godinu</w:t>
            </w:r>
          </w:p>
          <w:p>
            <w:pPr>
              <w:pStyle w:val="TableParagraph"/>
              <w:spacing w:before="89"/>
              <w:ind w:left="31"/>
              <w:jc w:val="center"/>
              <w:rPr>
                <w:sz w:val="18"/>
              </w:rPr>
            </w:pPr>
            <w:r>
              <w:rPr>
                <w:w w:val="100"/>
                <w:sz w:val="18"/>
              </w:rPr>
              <w:t>4</w:t>
            </w:r>
          </w:p>
        </w:tc>
        <w:tc>
          <w:tcPr>
            <w:tcW w:w="183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69" w:right="135"/>
              <w:jc w:val="center"/>
              <w:rPr>
                <w:sz w:val="20"/>
              </w:rPr>
            </w:pPr>
            <w:r>
              <w:rPr>
                <w:sz w:val="20"/>
              </w:rPr>
              <w:t>Tekući plan za 2014. godinu</w:t>
            </w:r>
          </w:p>
          <w:p>
            <w:pPr>
              <w:pStyle w:val="TableParagraph"/>
              <w:spacing w:before="94"/>
              <w:ind w:right="3"/>
              <w:jc w:val="center"/>
              <w:rPr>
                <w:sz w:val="18"/>
              </w:rPr>
            </w:pPr>
            <w:r>
              <w:rPr>
                <w:w w:val="100"/>
                <w:sz w:val="18"/>
              </w:rPr>
              <w:t>5</w:t>
            </w:r>
          </w:p>
        </w:tc>
        <w:tc>
          <w:tcPr>
            <w:tcW w:w="183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54" w:right="135"/>
              <w:jc w:val="center"/>
              <w:rPr>
                <w:sz w:val="20"/>
              </w:rPr>
            </w:pPr>
            <w:r>
              <w:rPr>
                <w:sz w:val="20"/>
              </w:rPr>
              <w:t>Izvršenje 01.01.-</w:t>
            </w:r>
          </w:p>
          <w:p>
            <w:pPr>
              <w:pStyle w:val="TableParagraph"/>
              <w:spacing w:line="241" w:lineRule="exact" w:before="0"/>
              <w:ind w:left="155" w:right="132"/>
              <w:jc w:val="center"/>
              <w:rPr>
                <w:sz w:val="20"/>
              </w:rPr>
            </w:pPr>
            <w:r>
              <w:rPr>
                <w:sz w:val="20"/>
              </w:rPr>
              <w:t>30.06.2014.</w:t>
            </w:r>
          </w:p>
          <w:p>
            <w:pPr>
              <w:pStyle w:val="TableParagraph"/>
              <w:spacing w:before="90"/>
              <w:ind w:left="23"/>
              <w:jc w:val="center"/>
              <w:rPr>
                <w:sz w:val="18"/>
              </w:rPr>
            </w:pPr>
            <w:r>
              <w:rPr>
                <w:w w:val="100"/>
                <w:sz w:val="18"/>
              </w:rPr>
              <w:t>6</w:t>
            </w:r>
          </w:p>
        </w:tc>
        <w:tc>
          <w:tcPr>
            <w:tcW w:w="1117"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265" w:right="256"/>
              <w:jc w:val="center"/>
              <w:rPr>
                <w:sz w:val="20"/>
              </w:rPr>
            </w:pPr>
            <w:r>
              <w:rPr>
                <w:w w:val="95"/>
                <w:sz w:val="20"/>
              </w:rPr>
              <w:t>Indeks </w:t>
            </w:r>
            <w:r>
              <w:rPr>
                <w:sz w:val="20"/>
              </w:rPr>
              <w:t>6/3</w:t>
            </w:r>
          </w:p>
          <w:p>
            <w:pPr>
              <w:pStyle w:val="TableParagraph"/>
              <w:spacing w:before="89"/>
              <w:ind w:left="11"/>
              <w:jc w:val="center"/>
              <w:rPr>
                <w:sz w:val="18"/>
              </w:rPr>
            </w:pPr>
            <w:r>
              <w:rPr>
                <w:w w:val="100"/>
                <w:sz w:val="18"/>
              </w:rPr>
              <w:t>7</w:t>
            </w:r>
          </w:p>
        </w:tc>
        <w:tc>
          <w:tcPr>
            <w:tcW w:w="1121"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4" w:right="273"/>
              <w:jc w:val="center"/>
              <w:rPr>
                <w:sz w:val="20"/>
              </w:rPr>
            </w:pPr>
            <w:r>
              <w:rPr>
                <w:w w:val="95"/>
                <w:sz w:val="20"/>
              </w:rPr>
              <w:t>Indeks </w:t>
            </w:r>
            <w:r>
              <w:rPr>
                <w:sz w:val="20"/>
              </w:rPr>
              <w:t>6/5</w:t>
            </w:r>
          </w:p>
          <w:p>
            <w:pPr>
              <w:pStyle w:val="TableParagraph"/>
              <w:spacing w:before="89"/>
              <w:ind w:right="14"/>
              <w:jc w:val="center"/>
              <w:rPr>
                <w:sz w:val="18"/>
              </w:rPr>
            </w:pPr>
            <w:r>
              <w:rPr>
                <w:w w:val="100"/>
                <w:sz w:val="18"/>
              </w:rPr>
              <w:t>8</w:t>
            </w:r>
          </w:p>
        </w:tc>
      </w:tr>
      <w:tr>
        <w:trPr>
          <w:trHeight w:val="498" w:hRule="atLeast"/>
        </w:trPr>
        <w:tc>
          <w:tcPr>
            <w:tcW w:w="734" w:type="dxa"/>
            <w:tcBorders>
              <w:top w:val="single" w:sz="8" w:space="0" w:color="000000"/>
              <w:left w:val="nil"/>
              <w:bottom w:val="single" w:sz="8" w:space="0" w:color="000000"/>
              <w:right w:val="single" w:sz="2" w:space="0" w:color="000000"/>
            </w:tcBorders>
          </w:tcPr>
          <w:p>
            <w:pPr>
              <w:pStyle w:val="TableParagraph"/>
              <w:spacing w:before="7"/>
              <w:ind w:right="9"/>
              <w:rPr>
                <w:rFonts w:ascii="Verdana"/>
                <w:sz w:val="20"/>
              </w:rPr>
            </w:pPr>
            <w:r>
              <w:rPr>
                <w:rFonts w:ascii="Verdana"/>
                <w:w w:val="100"/>
                <w:sz w:val="20"/>
              </w:rPr>
              <w:t>5</w:t>
            </w:r>
          </w:p>
        </w:tc>
        <w:tc>
          <w:tcPr>
            <w:tcW w:w="400"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3" w:type="dxa"/>
            <w:tcBorders>
              <w:top w:val="single" w:sz="8" w:space="0" w:color="000000"/>
              <w:left w:val="single" w:sz="2" w:space="0" w:color="000000"/>
              <w:bottom w:val="single" w:sz="8" w:space="0" w:color="000000"/>
              <w:right w:val="single" w:sz="2" w:space="0" w:color="000000"/>
            </w:tcBorders>
          </w:tcPr>
          <w:p>
            <w:pPr>
              <w:pStyle w:val="TableParagraph"/>
              <w:spacing w:line="240" w:lineRule="exact" w:before="16"/>
              <w:ind w:left="92" w:right="769"/>
              <w:jc w:val="left"/>
              <w:rPr>
                <w:rFonts w:ascii="Verdana"/>
                <w:sz w:val="20"/>
              </w:rPr>
            </w:pPr>
            <w:r>
              <w:rPr>
                <w:rFonts w:ascii="Verdana"/>
                <w:w w:val="105"/>
                <w:sz w:val="20"/>
              </w:rPr>
              <w:t>Izdaci</w:t>
            </w:r>
            <w:r>
              <w:rPr>
                <w:rFonts w:ascii="Verdana"/>
                <w:spacing w:val="-40"/>
                <w:w w:val="105"/>
                <w:sz w:val="20"/>
              </w:rPr>
              <w:t> </w:t>
            </w:r>
            <w:r>
              <w:rPr>
                <w:rFonts w:ascii="Verdana"/>
                <w:w w:val="105"/>
                <w:sz w:val="20"/>
              </w:rPr>
              <w:t>za</w:t>
            </w:r>
            <w:r>
              <w:rPr>
                <w:rFonts w:ascii="Verdana"/>
                <w:spacing w:val="-40"/>
                <w:w w:val="105"/>
                <w:sz w:val="20"/>
              </w:rPr>
              <w:t> </w:t>
            </w:r>
            <w:r>
              <w:rPr>
                <w:rFonts w:ascii="Verdana"/>
                <w:w w:val="105"/>
                <w:sz w:val="20"/>
              </w:rPr>
              <w:t>financijsku</w:t>
            </w:r>
            <w:r>
              <w:rPr>
                <w:rFonts w:ascii="Verdana"/>
                <w:spacing w:val="-39"/>
                <w:w w:val="105"/>
                <w:sz w:val="20"/>
              </w:rPr>
              <w:t> </w:t>
            </w:r>
            <w:r>
              <w:rPr>
                <w:rFonts w:ascii="Verdana"/>
                <w:w w:val="105"/>
                <w:sz w:val="20"/>
              </w:rPr>
              <w:t>imovinu</w:t>
            </w:r>
            <w:r>
              <w:rPr>
                <w:rFonts w:ascii="Verdana"/>
                <w:spacing w:val="-40"/>
                <w:w w:val="105"/>
                <w:sz w:val="20"/>
              </w:rPr>
              <w:t> </w:t>
            </w:r>
            <w:r>
              <w:rPr>
                <w:rFonts w:ascii="Verdana"/>
                <w:w w:val="105"/>
                <w:sz w:val="20"/>
              </w:rPr>
              <w:t>i</w:t>
            </w:r>
            <w:r>
              <w:rPr>
                <w:rFonts w:ascii="Verdana"/>
                <w:spacing w:val="-39"/>
                <w:w w:val="105"/>
                <w:sz w:val="20"/>
              </w:rPr>
              <w:t> </w:t>
            </w:r>
            <w:r>
              <w:rPr>
                <w:rFonts w:ascii="Verdana"/>
                <w:w w:val="105"/>
                <w:sz w:val="20"/>
              </w:rPr>
              <w:t>otplate zajmova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7"/>
              <w:ind w:right="79"/>
              <w:rPr>
                <w:rFonts w:ascii="Verdana"/>
                <w:sz w:val="20"/>
              </w:rPr>
            </w:pPr>
            <w:r>
              <w:rPr>
                <w:rFonts w:ascii="Verdana"/>
                <w:sz w:val="20"/>
              </w:rPr>
              <w:t>-33.559,19</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7"/>
              <w:ind w:right="64"/>
              <w:rPr>
                <w:rFonts w:ascii="Verdana"/>
                <w:sz w:val="20"/>
              </w:rPr>
            </w:pPr>
            <w:r>
              <w:rPr>
                <w:rFonts w:ascii="Verdana"/>
                <w:sz w:val="20"/>
              </w:rPr>
              <w:t>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7"/>
              <w:ind w:right="81"/>
              <w:rPr>
                <w:rFonts w:ascii="Verdana"/>
                <w:sz w:val="20"/>
              </w:rPr>
            </w:pPr>
            <w:r>
              <w:rPr>
                <w:rFonts w:ascii="Verdana"/>
                <w:sz w:val="20"/>
              </w:rPr>
              <w:t>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7"/>
              <w:ind w:right="70"/>
              <w:rPr>
                <w:rFonts w:ascii="Verdana"/>
                <w:sz w:val="20"/>
              </w:rPr>
            </w:pPr>
            <w:r>
              <w:rPr>
                <w:rFonts w:ascii="Verdana"/>
                <w:sz w:val="20"/>
              </w:rPr>
              <w:t>0,00</w:t>
            </w:r>
          </w:p>
        </w:tc>
        <w:tc>
          <w:tcPr>
            <w:tcW w:w="1117" w:type="dxa"/>
            <w:tcBorders>
              <w:top w:val="single" w:sz="8" w:space="0" w:color="000000"/>
              <w:left w:val="single" w:sz="2" w:space="0" w:color="000000"/>
              <w:bottom w:val="single" w:sz="8" w:space="0" w:color="000000"/>
              <w:right w:val="single" w:sz="2" w:space="0" w:color="000000"/>
            </w:tcBorders>
          </w:tcPr>
          <w:p>
            <w:pPr>
              <w:pStyle w:val="TableParagraph"/>
              <w:spacing w:before="7"/>
              <w:ind w:right="37"/>
              <w:rPr>
                <w:rFonts w:ascii="Verdana"/>
                <w:sz w:val="20"/>
              </w:rPr>
            </w:pPr>
            <w:r>
              <w:rPr>
                <w:rFonts w:ascii="Verdana"/>
                <w:sz w:val="20"/>
              </w:rPr>
              <w:t>0,00%</w:t>
            </w:r>
          </w:p>
        </w:tc>
        <w:tc>
          <w:tcPr>
            <w:tcW w:w="1121"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spacing w:before="8"/>
              <w:ind w:right="9"/>
              <w:rPr>
                <w:rFonts w:ascii="Verdana"/>
                <w:sz w:val="18"/>
              </w:rPr>
            </w:pPr>
            <w:r>
              <w:rPr>
                <w:rFonts w:ascii="Verdana"/>
                <w:sz w:val="18"/>
              </w:rPr>
              <w:t>54</w:t>
            </w:r>
          </w:p>
        </w:tc>
        <w:tc>
          <w:tcPr>
            <w:tcW w:w="400"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3" w:type="dxa"/>
            <w:tcBorders>
              <w:top w:val="single" w:sz="8" w:space="0" w:color="000000"/>
              <w:left w:val="single" w:sz="2" w:space="0" w:color="000000"/>
              <w:bottom w:val="single" w:sz="8" w:space="0" w:color="000000"/>
              <w:right w:val="single" w:sz="2" w:space="0" w:color="000000"/>
            </w:tcBorders>
          </w:tcPr>
          <w:p>
            <w:pPr>
              <w:pStyle w:val="TableParagraph"/>
              <w:spacing w:before="8"/>
              <w:ind w:left="92"/>
              <w:jc w:val="left"/>
              <w:rPr>
                <w:rFonts w:ascii="Verdana"/>
                <w:sz w:val="18"/>
              </w:rPr>
            </w:pPr>
            <w:r>
              <w:rPr>
                <w:rFonts w:ascii="Verdana"/>
                <w:sz w:val="18"/>
              </w:rPr>
              <w:t>Izdaci za otplatu glavnice primljenih zajmova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8"/>
              <w:ind w:right="76"/>
              <w:rPr>
                <w:rFonts w:ascii="Verdana"/>
                <w:sz w:val="18"/>
              </w:rPr>
            </w:pPr>
            <w:r>
              <w:rPr>
                <w:rFonts w:ascii="Verdana"/>
                <w:sz w:val="18"/>
              </w:rPr>
              <w:t>-33.559,19</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8"/>
              <w:ind w:right="64"/>
              <w:rPr>
                <w:rFonts w:ascii="Verdana"/>
                <w:sz w:val="18"/>
              </w:rPr>
            </w:pPr>
            <w:r>
              <w:rPr>
                <w:rFonts w:ascii="Verdana"/>
                <w:sz w:val="18"/>
              </w:rPr>
              <w:t>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8"/>
              <w:ind w:right="79"/>
              <w:rPr>
                <w:rFonts w:ascii="Verdana"/>
                <w:sz w:val="18"/>
              </w:rPr>
            </w:pPr>
            <w:r>
              <w:rPr>
                <w:rFonts w:ascii="Verdana"/>
                <w:sz w:val="18"/>
              </w:rPr>
              <w:t>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8"/>
              <w:ind w:right="67"/>
              <w:rPr>
                <w:rFonts w:ascii="Verdana"/>
                <w:sz w:val="18"/>
              </w:rPr>
            </w:pPr>
            <w:r>
              <w:rPr>
                <w:rFonts w:ascii="Verdana"/>
                <w:sz w:val="18"/>
              </w:rPr>
              <w:t>0,00</w:t>
            </w:r>
          </w:p>
        </w:tc>
        <w:tc>
          <w:tcPr>
            <w:tcW w:w="1117" w:type="dxa"/>
            <w:tcBorders>
              <w:top w:val="single" w:sz="8" w:space="0" w:color="000000"/>
              <w:left w:val="single" w:sz="2" w:space="0" w:color="000000"/>
              <w:bottom w:val="single" w:sz="8" w:space="0" w:color="000000"/>
              <w:right w:val="single" w:sz="2" w:space="0" w:color="000000"/>
            </w:tcBorders>
          </w:tcPr>
          <w:p>
            <w:pPr>
              <w:pStyle w:val="TableParagraph"/>
              <w:spacing w:before="8"/>
              <w:ind w:right="37"/>
              <w:rPr>
                <w:rFonts w:ascii="Verdana"/>
                <w:sz w:val="18"/>
              </w:rPr>
            </w:pPr>
            <w:r>
              <w:rPr>
                <w:rFonts w:ascii="Verdana"/>
                <w:sz w:val="18"/>
              </w:rPr>
              <w:t>0,00%</w:t>
            </w:r>
          </w:p>
        </w:tc>
        <w:tc>
          <w:tcPr>
            <w:tcW w:w="1121"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481" w:hRule="atLeast"/>
        </w:trPr>
        <w:tc>
          <w:tcPr>
            <w:tcW w:w="734" w:type="dxa"/>
            <w:tcBorders>
              <w:top w:val="single" w:sz="8" w:space="0" w:color="000000"/>
              <w:left w:val="nil"/>
              <w:bottom w:val="single" w:sz="8" w:space="0" w:color="000000"/>
              <w:right w:val="single" w:sz="2" w:space="0" w:color="000000"/>
            </w:tcBorders>
          </w:tcPr>
          <w:p>
            <w:pPr>
              <w:pStyle w:val="TableParagraph"/>
              <w:spacing w:before="9"/>
              <w:ind w:right="12"/>
              <w:rPr>
                <w:sz w:val="18"/>
              </w:rPr>
            </w:pPr>
            <w:r>
              <w:rPr>
                <w:sz w:val="18"/>
              </w:rPr>
              <w:t>542</w:t>
            </w:r>
          </w:p>
        </w:tc>
        <w:tc>
          <w:tcPr>
            <w:tcW w:w="400"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4673" w:type="dxa"/>
            <w:tcBorders>
              <w:top w:val="single" w:sz="8" w:space="0" w:color="000000"/>
              <w:left w:val="single" w:sz="2" w:space="0" w:color="000000"/>
              <w:bottom w:val="single" w:sz="8" w:space="0" w:color="000000"/>
              <w:right w:val="single" w:sz="2" w:space="0" w:color="000000"/>
            </w:tcBorders>
          </w:tcPr>
          <w:p>
            <w:pPr>
              <w:pStyle w:val="TableParagraph"/>
              <w:spacing w:before="9"/>
              <w:ind w:left="92"/>
              <w:jc w:val="left"/>
              <w:rPr>
                <w:sz w:val="18"/>
              </w:rPr>
            </w:pPr>
            <w:r>
              <w:rPr>
                <w:sz w:val="18"/>
              </w:rPr>
              <w:t>Otplata glavnice primljenih zajmova od banaka i ostalih financijskih institucija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9"/>
              <w:ind w:right="80"/>
              <w:rPr>
                <w:sz w:val="18"/>
              </w:rPr>
            </w:pPr>
            <w:r>
              <w:rPr>
                <w:sz w:val="18"/>
              </w:rPr>
              <w:t>-33.559,19</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9"/>
              <w:ind w:right="66"/>
              <w:rPr>
                <w:sz w:val="18"/>
              </w:rPr>
            </w:pPr>
            <w:r>
              <w:rPr>
                <w:sz w:val="18"/>
              </w:rPr>
              <w:t>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9"/>
              <w:ind w:right="84"/>
              <w:rPr>
                <w:sz w:val="18"/>
              </w:rPr>
            </w:pPr>
            <w:r>
              <w:rPr>
                <w:sz w:val="18"/>
              </w:rPr>
              <w:t>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9"/>
              <w:ind w:right="71"/>
              <w:rPr>
                <w:sz w:val="18"/>
              </w:rPr>
            </w:pPr>
            <w:r>
              <w:rPr>
                <w:sz w:val="18"/>
              </w:rPr>
              <w:t>0,00</w:t>
            </w:r>
          </w:p>
        </w:tc>
        <w:tc>
          <w:tcPr>
            <w:tcW w:w="1117" w:type="dxa"/>
            <w:tcBorders>
              <w:top w:val="single" w:sz="8" w:space="0" w:color="000000"/>
              <w:left w:val="single" w:sz="2" w:space="0" w:color="000000"/>
              <w:bottom w:val="single" w:sz="8" w:space="0" w:color="000000"/>
              <w:right w:val="single" w:sz="2" w:space="0" w:color="000000"/>
            </w:tcBorders>
          </w:tcPr>
          <w:p>
            <w:pPr>
              <w:pStyle w:val="TableParagraph"/>
              <w:ind w:right="33"/>
              <w:rPr>
                <w:sz w:val="16"/>
              </w:rPr>
            </w:pPr>
            <w:r>
              <w:rPr>
                <w:sz w:val="16"/>
              </w:rPr>
              <w:t>0,00%</w:t>
            </w:r>
          </w:p>
        </w:tc>
        <w:tc>
          <w:tcPr>
            <w:tcW w:w="1121"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8"/>
              </w:rPr>
            </w:pPr>
          </w:p>
        </w:tc>
      </w:tr>
      <w:tr>
        <w:trPr>
          <w:trHeight w:val="486" w:hRule="atLeast"/>
        </w:trPr>
        <w:tc>
          <w:tcPr>
            <w:tcW w:w="734" w:type="dxa"/>
            <w:tcBorders>
              <w:top w:val="single" w:sz="8" w:space="0" w:color="000000"/>
              <w:left w:val="nil"/>
              <w:right w:val="single" w:sz="2" w:space="0" w:color="000000"/>
            </w:tcBorders>
          </w:tcPr>
          <w:p>
            <w:pPr>
              <w:pStyle w:val="TableParagraph"/>
              <w:spacing w:before="9"/>
              <w:ind w:right="14"/>
              <w:rPr>
                <w:sz w:val="18"/>
              </w:rPr>
            </w:pPr>
            <w:r>
              <w:rPr>
                <w:sz w:val="18"/>
              </w:rPr>
              <w:t>5422</w:t>
            </w:r>
          </w:p>
        </w:tc>
        <w:tc>
          <w:tcPr>
            <w:tcW w:w="400" w:type="dxa"/>
            <w:tcBorders>
              <w:top w:val="single" w:sz="8" w:space="0" w:color="000000"/>
              <w:left w:val="single" w:sz="2" w:space="0" w:color="000000"/>
              <w:right w:val="single" w:sz="2" w:space="0" w:color="000000"/>
            </w:tcBorders>
          </w:tcPr>
          <w:p>
            <w:pPr>
              <w:pStyle w:val="TableParagraph"/>
              <w:spacing w:before="0"/>
              <w:jc w:val="left"/>
              <w:rPr>
                <w:rFonts w:ascii="Times New Roman"/>
                <w:sz w:val="18"/>
              </w:rPr>
            </w:pPr>
          </w:p>
        </w:tc>
        <w:tc>
          <w:tcPr>
            <w:tcW w:w="4673" w:type="dxa"/>
            <w:tcBorders>
              <w:top w:val="single" w:sz="8" w:space="0" w:color="000000"/>
              <w:left w:val="single" w:sz="2" w:space="0" w:color="000000"/>
              <w:right w:val="single" w:sz="2" w:space="0" w:color="000000"/>
            </w:tcBorders>
          </w:tcPr>
          <w:p>
            <w:pPr>
              <w:pStyle w:val="TableParagraph"/>
              <w:spacing w:line="217" w:lineRule="exact" w:before="9"/>
              <w:ind w:left="92"/>
              <w:jc w:val="left"/>
              <w:rPr>
                <w:sz w:val="18"/>
              </w:rPr>
            </w:pPr>
            <w:r>
              <w:rPr>
                <w:sz w:val="18"/>
              </w:rPr>
              <w:t>Otplata glavnice primljenih kredita i zajmova od</w:t>
            </w:r>
          </w:p>
          <w:p>
            <w:pPr>
              <w:pStyle w:val="TableParagraph"/>
              <w:spacing w:line="217" w:lineRule="exact" w:before="0"/>
              <w:ind w:left="92"/>
              <w:jc w:val="left"/>
              <w:rPr>
                <w:sz w:val="18"/>
              </w:rPr>
            </w:pPr>
            <w:r>
              <w:rPr>
                <w:sz w:val="18"/>
              </w:rPr>
              <w:t>kreditnih i ostalih financijskih institucija u javnom sektoru</w:t>
            </w:r>
          </w:p>
        </w:tc>
        <w:tc>
          <w:tcPr>
            <w:tcW w:w="1833" w:type="dxa"/>
            <w:tcBorders>
              <w:top w:val="single" w:sz="8" w:space="0" w:color="000000"/>
              <w:left w:val="single" w:sz="2" w:space="0" w:color="000000"/>
              <w:right w:val="single" w:sz="2" w:space="0" w:color="000000"/>
            </w:tcBorders>
          </w:tcPr>
          <w:p>
            <w:pPr>
              <w:pStyle w:val="TableParagraph"/>
              <w:spacing w:before="9"/>
              <w:ind w:right="80"/>
              <w:rPr>
                <w:sz w:val="18"/>
              </w:rPr>
            </w:pPr>
            <w:r>
              <w:rPr>
                <w:sz w:val="18"/>
              </w:rPr>
              <w:t>-33.559,19</w:t>
            </w:r>
          </w:p>
        </w:tc>
        <w:tc>
          <w:tcPr>
            <w:tcW w:w="1832" w:type="dxa"/>
            <w:tcBorders>
              <w:top w:val="single" w:sz="8" w:space="0" w:color="000000"/>
              <w:left w:val="single" w:sz="2" w:space="0" w:color="000000"/>
              <w:right w:val="single" w:sz="2" w:space="0" w:color="000000"/>
            </w:tcBorders>
          </w:tcPr>
          <w:p>
            <w:pPr>
              <w:pStyle w:val="TableParagraph"/>
              <w:spacing w:before="9"/>
              <w:ind w:right="66"/>
              <w:rPr>
                <w:sz w:val="18"/>
              </w:rPr>
            </w:pPr>
            <w:r>
              <w:rPr>
                <w:sz w:val="18"/>
              </w:rPr>
              <w:t>0,00</w:t>
            </w:r>
          </w:p>
        </w:tc>
        <w:tc>
          <w:tcPr>
            <w:tcW w:w="1832" w:type="dxa"/>
            <w:tcBorders>
              <w:top w:val="single" w:sz="8" w:space="0" w:color="000000"/>
              <w:left w:val="single" w:sz="2" w:space="0" w:color="000000"/>
              <w:right w:val="single" w:sz="2" w:space="0" w:color="000000"/>
            </w:tcBorders>
          </w:tcPr>
          <w:p>
            <w:pPr>
              <w:pStyle w:val="TableParagraph"/>
              <w:spacing w:before="9"/>
              <w:ind w:right="84"/>
              <w:rPr>
                <w:sz w:val="18"/>
              </w:rPr>
            </w:pPr>
            <w:r>
              <w:rPr>
                <w:sz w:val="18"/>
              </w:rPr>
              <w:t>0,00</w:t>
            </w:r>
          </w:p>
        </w:tc>
        <w:tc>
          <w:tcPr>
            <w:tcW w:w="1832" w:type="dxa"/>
            <w:tcBorders>
              <w:top w:val="single" w:sz="8" w:space="0" w:color="000000"/>
              <w:left w:val="single" w:sz="2" w:space="0" w:color="000000"/>
              <w:right w:val="single" w:sz="2" w:space="0" w:color="000000"/>
            </w:tcBorders>
          </w:tcPr>
          <w:p>
            <w:pPr>
              <w:pStyle w:val="TableParagraph"/>
              <w:spacing w:before="9"/>
              <w:ind w:right="71"/>
              <w:rPr>
                <w:sz w:val="18"/>
              </w:rPr>
            </w:pPr>
            <w:r>
              <w:rPr>
                <w:sz w:val="18"/>
              </w:rPr>
              <w:t>0,00</w:t>
            </w:r>
          </w:p>
        </w:tc>
        <w:tc>
          <w:tcPr>
            <w:tcW w:w="1117" w:type="dxa"/>
            <w:tcBorders>
              <w:top w:val="single" w:sz="8" w:space="0" w:color="000000"/>
              <w:left w:val="single" w:sz="2" w:space="0" w:color="000000"/>
              <w:right w:val="single" w:sz="2" w:space="0" w:color="000000"/>
            </w:tcBorders>
          </w:tcPr>
          <w:p>
            <w:pPr>
              <w:pStyle w:val="TableParagraph"/>
              <w:ind w:right="33"/>
              <w:rPr>
                <w:sz w:val="16"/>
              </w:rPr>
            </w:pPr>
            <w:r>
              <w:rPr>
                <w:sz w:val="16"/>
              </w:rPr>
              <w:t>0,00%</w:t>
            </w:r>
          </w:p>
        </w:tc>
        <w:tc>
          <w:tcPr>
            <w:tcW w:w="1121" w:type="dxa"/>
            <w:tcBorders>
              <w:top w:val="single" w:sz="8" w:space="0" w:color="000000"/>
              <w:left w:val="single" w:sz="2" w:space="0" w:color="000000"/>
              <w:right w:val="nil"/>
            </w:tcBorders>
          </w:tcPr>
          <w:p>
            <w:pPr>
              <w:pStyle w:val="TableParagraph"/>
              <w:spacing w:before="0"/>
              <w:jc w:val="left"/>
              <w:rPr>
                <w:rFonts w:ascii="Times New Roman"/>
                <w:sz w:val="18"/>
              </w:rPr>
            </w:pPr>
          </w:p>
        </w:tc>
      </w:tr>
    </w:tbl>
    <w:p>
      <w:pPr>
        <w:pStyle w:val="BodyText"/>
        <w:rPr>
          <w:sz w:val="20"/>
        </w:rPr>
      </w:pPr>
    </w:p>
    <w:p>
      <w:pPr>
        <w:pStyle w:val="BodyText"/>
        <w:spacing w:before="8" w:after="1"/>
        <w:rPr>
          <w:sz w:val="17"/>
        </w:rPr>
      </w:pPr>
    </w:p>
    <w:tbl>
      <w:tblPr>
        <w:tblW w:w="0" w:type="auto"/>
        <w:jc w:val="left"/>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400"/>
        <w:gridCol w:w="4672"/>
        <w:gridCol w:w="1830"/>
        <w:gridCol w:w="1830"/>
        <w:gridCol w:w="1830"/>
        <w:gridCol w:w="1830"/>
        <w:gridCol w:w="1115"/>
        <w:gridCol w:w="1120"/>
      </w:tblGrid>
      <w:tr>
        <w:trPr>
          <w:trHeight w:val="265" w:hRule="atLeast"/>
        </w:trPr>
        <w:tc>
          <w:tcPr>
            <w:tcW w:w="734" w:type="dxa"/>
            <w:tcBorders>
              <w:left w:val="nil"/>
              <w:right w:val="single" w:sz="2" w:space="0" w:color="000000"/>
            </w:tcBorders>
          </w:tcPr>
          <w:p>
            <w:pPr>
              <w:pStyle w:val="TableParagraph"/>
              <w:spacing w:line="238" w:lineRule="exact" w:before="7"/>
              <w:ind w:right="7"/>
              <w:rPr>
                <w:rFonts w:ascii="Verdana"/>
                <w:sz w:val="20"/>
              </w:rPr>
            </w:pPr>
            <w:r>
              <w:rPr>
                <w:rFonts w:ascii="Verdana"/>
                <w:w w:val="100"/>
                <w:sz w:val="20"/>
              </w:rPr>
              <w:t>8</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line="238" w:lineRule="exact" w:before="7"/>
              <w:ind w:left="94"/>
              <w:jc w:val="left"/>
              <w:rPr>
                <w:rFonts w:ascii="Verdana" w:hAnsi="Verdana"/>
                <w:sz w:val="20"/>
              </w:rPr>
            </w:pPr>
            <w:r>
              <w:rPr>
                <w:rFonts w:ascii="Verdana" w:hAnsi="Verdana"/>
                <w:w w:val="105"/>
                <w:sz w:val="20"/>
              </w:rPr>
              <w:t>Primici</w:t>
            </w:r>
            <w:r>
              <w:rPr>
                <w:rFonts w:ascii="Verdana" w:hAnsi="Verdana"/>
                <w:spacing w:val="-33"/>
                <w:w w:val="105"/>
                <w:sz w:val="20"/>
              </w:rPr>
              <w:t> </w:t>
            </w:r>
            <w:r>
              <w:rPr>
                <w:rFonts w:ascii="Verdana" w:hAnsi="Verdana"/>
                <w:w w:val="105"/>
                <w:sz w:val="20"/>
              </w:rPr>
              <w:t>od</w:t>
            </w:r>
            <w:r>
              <w:rPr>
                <w:rFonts w:ascii="Verdana" w:hAnsi="Verdana"/>
                <w:spacing w:val="-33"/>
                <w:w w:val="105"/>
                <w:sz w:val="20"/>
              </w:rPr>
              <w:t> </w:t>
            </w:r>
            <w:r>
              <w:rPr>
                <w:rFonts w:ascii="Verdana" w:hAnsi="Verdana"/>
                <w:w w:val="105"/>
                <w:sz w:val="20"/>
              </w:rPr>
              <w:t>financijske</w:t>
            </w:r>
            <w:r>
              <w:rPr>
                <w:rFonts w:ascii="Verdana" w:hAnsi="Verdana"/>
                <w:spacing w:val="-33"/>
                <w:w w:val="105"/>
                <w:sz w:val="20"/>
              </w:rPr>
              <w:t> </w:t>
            </w:r>
            <w:r>
              <w:rPr>
                <w:rFonts w:ascii="Verdana" w:hAnsi="Verdana"/>
                <w:w w:val="105"/>
                <w:sz w:val="20"/>
              </w:rPr>
              <w:t>imovine</w:t>
            </w:r>
            <w:r>
              <w:rPr>
                <w:rFonts w:ascii="Verdana" w:hAnsi="Verdana"/>
                <w:spacing w:val="-32"/>
                <w:w w:val="105"/>
                <w:sz w:val="20"/>
              </w:rPr>
              <w:t> </w:t>
            </w:r>
            <w:r>
              <w:rPr>
                <w:rFonts w:ascii="Verdana" w:hAnsi="Verdana"/>
                <w:w w:val="105"/>
                <w:sz w:val="20"/>
              </w:rPr>
              <w:t>i</w:t>
            </w:r>
            <w:r>
              <w:rPr>
                <w:rFonts w:ascii="Verdana" w:hAnsi="Verdana"/>
                <w:spacing w:val="-33"/>
                <w:w w:val="105"/>
                <w:sz w:val="20"/>
              </w:rPr>
              <w:t> </w:t>
            </w:r>
            <w:r>
              <w:rPr>
                <w:rFonts w:ascii="Verdana" w:hAnsi="Verdana"/>
                <w:w w:val="105"/>
                <w:sz w:val="20"/>
              </w:rPr>
              <w:t>zaduživanja</w:t>
            </w:r>
          </w:p>
        </w:tc>
        <w:tc>
          <w:tcPr>
            <w:tcW w:w="1830" w:type="dxa"/>
            <w:tcBorders>
              <w:left w:val="single" w:sz="2" w:space="0" w:color="000000"/>
              <w:right w:val="single" w:sz="2" w:space="0" w:color="000000"/>
            </w:tcBorders>
          </w:tcPr>
          <w:p>
            <w:pPr>
              <w:pStyle w:val="TableParagraph"/>
              <w:spacing w:line="238" w:lineRule="exact" w:before="7"/>
              <w:ind w:right="66"/>
              <w:rPr>
                <w:rFonts w:ascii="Verdana"/>
                <w:sz w:val="20"/>
              </w:rPr>
            </w:pPr>
            <w:r>
              <w:rPr>
                <w:rFonts w:ascii="Verdana"/>
                <w:sz w:val="20"/>
              </w:rPr>
              <w:t>0,00</w:t>
            </w:r>
          </w:p>
        </w:tc>
        <w:tc>
          <w:tcPr>
            <w:tcW w:w="1830" w:type="dxa"/>
            <w:tcBorders>
              <w:left w:val="single" w:sz="2" w:space="0" w:color="000000"/>
              <w:right w:val="single" w:sz="2" w:space="0" w:color="000000"/>
            </w:tcBorders>
          </w:tcPr>
          <w:p>
            <w:pPr>
              <w:pStyle w:val="TableParagraph"/>
              <w:spacing w:line="238" w:lineRule="exact" w:before="7"/>
              <w:ind w:right="62"/>
              <w:rPr>
                <w:rFonts w:ascii="Verdana"/>
                <w:sz w:val="20"/>
              </w:rPr>
            </w:pPr>
            <w:r>
              <w:rPr>
                <w:rFonts w:ascii="Verdana"/>
                <w:sz w:val="20"/>
              </w:rPr>
              <w:t>5.500.000,00</w:t>
            </w:r>
          </w:p>
        </w:tc>
        <w:tc>
          <w:tcPr>
            <w:tcW w:w="1830" w:type="dxa"/>
            <w:tcBorders>
              <w:left w:val="single" w:sz="2" w:space="0" w:color="000000"/>
              <w:right w:val="single" w:sz="2" w:space="0" w:color="000000"/>
            </w:tcBorders>
          </w:tcPr>
          <w:p>
            <w:pPr>
              <w:pStyle w:val="TableParagraph"/>
              <w:spacing w:line="238" w:lineRule="exact" w:before="7"/>
              <w:ind w:right="78"/>
              <w:rPr>
                <w:rFonts w:ascii="Verdana"/>
                <w:sz w:val="20"/>
              </w:rPr>
            </w:pPr>
            <w:r>
              <w:rPr>
                <w:rFonts w:ascii="Verdana"/>
                <w:sz w:val="20"/>
              </w:rPr>
              <w:t>5.500.000,00</w:t>
            </w:r>
          </w:p>
        </w:tc>
        <w:tc>
          <w:tcPr>
            <w:tcW w:w="1830" w:type="dxa"/>
            <w:tcBorders>
              <w:left w:val="single" w:sz="2" w:space="0" w:color="000000"/>
              <w:right w:val="single" w:sz="2" w:space="0" w:color="000000"/>
            </w:tcBorders>
          </w:tcPr>
          <w:p>
            <w:pPr>
              <w:pStyle w:val="TableParagraph"/>
              <w:spacing w:line="238" w:lineRule="exact" w:before="7"/>
              <w:ind w:right="57"/>
              <w:rPr>
                <w:rFonts w:ascii="Verdana"/>
                <w:sz w:val="20"/>
              </w:rPr>
            </w:pPr>
            <w:r>
              <w:rPr>
                <w:rFonts w:ascii="Verdana"/>
                <w:sz w:val="20"/>
              </w:rPr>
              <w:t>0,00</w:t>
            </w:r>
          </w:p>
        </w:tc>
        <w:tc>
          <w:tcPr>
            <w:tcW w:w="1115" w:type="dxa"/>
            <w:tcBorders>
              <w:left w:val="single" w:sz="2" w:space="0" w:color="000000"/>
              <w:right w:val="single" w:sz="2" w:space="0" w:color="000000"/>
            </w:tcBorders>
          </w:tcPr>
          <w:p>
            <w:pPr>
              <w:pStyle w:val="TableParagraph"/>
              <w:spacing w:before="0"/>
              <w:jc w:val="left"/>
              <w:rPr>
                <w:rFonts w:ascii="Times New Roman"/>
                <w:sz w:val="18"/>
              </w:rPr>
            </w:pPr>
          </w:p>
        </w:tc>
        <w:tc>
          <w:tcPr>
            <w:tcW w:w="1120" w:type="dxa"/>
            <w:tcBorders>
              <w:left w:val="single" w:sz="2" w:space="0" w:color="000000"/>
              <w:right w:val="nil"/>
            </w:tcBorders>
          </w:tcPr>
          <w:p>
            <w:pPr>
              <w:pStyle w:val="TableParagraph"/>
              <w:spacing w:line="238" w:lineRule="exact" w:before="7"/>
              <w:ind w:right="26"/>
              <w:rPr>
                <w:rFonts w:ascii="Verdana"/>
                <w:sz w:val="20"/>
              </w:rPr>
            </w:pPr>
            <w:r>
              <w:rPr>
                <w:rFonts w:ascii="Verdana"/>
                <w:sz w:val="20"/>
              </w:rPr>
              <w:t>0,00%</w:t>
            </w:r>
          </w:p>
        </w:tc>
      </w:tr>
      <w:tr>
        <w:trPr>
          <w:trHeight w:val="265" w:hRule="atLeast"/>
        </w:trPr>
        <w:tc>
          <w:tcPr>
            <w:tcW w:w="734" w:type="dxa"/>
            <w:tcBorders>
              <w:left w:val="nil"/>
              <w:right w:val="single" w:sz="2" w:space="0" w:color="000000"/>
            </w:tcBorders>
          </w:tcPr>
          <w:p>
            <w:pPr>
              <w:pStyle w:val="TableParagraph"/>
              <w:spacing w:before="8"/>
              <w:ind w:right="6"/>
              <w:rPr>
                <w:rFonts w:ascii="Verdana"/>
                <w:sz w:val="18"/>
              </w:rPr>
            </w:pPr>
            <w:r>
              <w:rPr>
                <w:rFonts w:ascii="Verdana"/>
                <w:sz w:val="18"/>
              </w:rPr>
              <w:t>84</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8"/>
              <w:ind w:left="94"/>
              <w:jc w:val="left"/>
              <w:rPr>
                <w:rFonts w:ascii="Verdana" w:hAnsi="Verdana"/>
                <w:sz w:val="18"/>
              </w:rPr>
            </w:pPr>
            <w:r>
              <w:rPr>
                <w:rFonts w:ascii="Verdana" w:hAnsi="Verdana"/>
                <w:w w:val="105"/>
                <w:sz w:val="18"/>
              </w:rPr>
              <w:t>Primici od zaduživanja</w:t>
            </w:r>
          </w:p>
        </w:tc>
        <w:tc>
          <w:tcPr>
            <w:tcW w:w="1830" w:type="dxa"/>
            <w:tcBorders>
              <w:left w:val="single" w:sz="2" w:space="0" w:color="000000"/>
              <w:right w:val="single" w:sz="2" w:space="0" w:color="000000"/>
            </w:tcBorders>
          </w:tcPr>
          <w:p>
            <w:pPr>
              <w:pStyle w:val="TableParagraph"/>
              <w:spacing w:before="8"/>
              <w:ind w:right="66"/>
              <w:rPr>
                <w:rFonts w:ascii="Verdana"/>
                <w:sz w:val="18"/>
              </w:rPr>
            </w:pPr>
            <w:r>
              <w:rPr>
                <w:rFonts w:ascii="Verdana"/>
                <w:sz w:val="18"/>
              </w:rPr>
              <w:t>0,00</w:t>
            </w:r>
          </w:p>
        </w:tc>
        <w:tc>
          <w:tcPr>
            <w:tcW w:w="1830" w:type="dxa"/>
            <w:tcBorders>
              <w:left w:val="single" w:sz="2" w:space="0" w:color="000000"/>
              <w:right w:val="single" w:sz="2" w:space="0" w:color="000000"/>
            </w:tcBorders>
          </w:tcPr>
          <w:p>
            <w:pPr>
              <w:pStyle w:val="TableParagraph"/>
              <w:spacing w:before="8"/>
              <w:ind w:right="62"/>
              <w:rPr>
                <w:rFonts w:ascii="Verdana"/>
                <w:sz w:val="18"/>
              </w:rPr>
            </w:pPr>
            <w:r>
              <w:rPr>
                <w:rFonts w:ascii="Verdana"/>
                <w:sz w:val="18"/>
              </w:rPr>
              <w:t>5.500.000,00</w:t>
            </w:r>
          </w:p>
        </w:tc>
        <w:tc>
          <w:tcPr>
            <w:tcW w:w="1830" w:type="dxa"/>
            <w:tcBorders>
              <w:left w:val="single" w:sz="2" w:space="0" w:color="000000"/>
              <w:right w:val="single" w:sz="2" w:space="0" w:color="000000"/>
            </w:tcBorders>
          </w:tcPr>
          <w:p>
            <w:pPr>
              <w:pStyle w:val="TableParagraph"/>
              <w:spacing w:before="8"/>
              <w:ind w:right="75"/>
              <w:rPr>
                <w:rFonts w:ascii="Verdana"/>
                <w:sz w:val="18"/>
              </w:rPr>
            </w:pPr>
            <w:r>
              <w:rPr>
                <w:rFonts w:ascii="Verdana"/>
                <w:sz w:val="18"/>
              </w:rPr>
              <w:t>5.500.000,00</w:t>
            </w:r>
          </w:p>
        </w:tc>
        <w:tc>
          <w:tcPr>
            <w:tcW w:w="1830" w:type="dxa"/>
            <w:tcBorders>
              <w:left w:val="single" w:sz="2" w:space="0" w:color="000000"/>
              <w:right w:val="single" w:sz="2" w:space="0" w:color="000000"/>
            </w:tcBorders>
          </w:tcPr>
          <w:p>
            <w:pPr>
              <w:pStyle w:val="TableParagraph"/>
              <w:spacing w:before="8"/>
              <w:ind w:right="54"/>
              <w:rPr>
                <w:rFonts w:ascii="Verdana"/>
                <w:sz w:val="18"/>
              </w:rPr>
            </w:pPr>
            <w:r>
              <w:rPr>
                <w:rFonts w:ascii="Verdana"/>
                <w:sz w:val="18"/>
              </w:rPr>
              <w:t>0,00</w:t>
            </w:r>
          </w:p>
        </w:tc>
        <w:tc>
          <w:tcPr>
            <w:tcW w:w="1115" w:type="dxa"/>
            <w:tcBorders>
              <w:left w:val="single" w:sz="2" w:space="0" w:color="000000"/>
              <w:right w:val="single" w:sz="2" w:space="0" w:color="000000"/>
            </w:tcBorders>
          </w:tcPr>
          <w:p>
            <w:pPr>
              <w:pStyle w:val="TableParagraph"/>
              <w:spacing w:before="0"/>
              <w:jc w:val="left"/>
              <w:rPr>
                <w:rFonts w:ascii="Times New Roman"/>
                <w:sz w:val="18"/>
              </w:rPr>
            </w:pPr>
          </w:p>
        </w:tc>
        <w:tc>
          <w:tcPr>
            <w:tcW w:w="1120" w:type="dxa"/>
            <w:tcBorders>
              <w:left w:val="single" w:sz="2" w:space="0" w:color="000000"/>
              <w:right w:val="nil"/>
            </w:tcBorders>
          </w:tcPr>
          <w:p>
            <w:pPr>
              <w:pStyle w:val="TableParagraph"/>
              <w:spacing w:before="8"/>
              <w:ind w:right="26"/>
              <w:rPr>
                <w:rFonts w:ascii="Verdana"/>
                <w:sz w:val="18"/>
              </w:rPr>
            </w:pPr>
            <w:r>
              <w:rPr>
                <w:rFonts w:ascii="Verdana"/>
                <w:sz w:val="18"/>
              </w:rPr>
              <w:t>0,00%</w:t>
            </w:r>
          </w:p>
        </w:tc>
      </w:tr>
      <w:tr>
        <w:trPr>
          <w:trHeight w:val="481" w:hRule="atLeast"/>
        </w:trPr>
        <w:tc>
          <w:tcPr>
            <w:tcW w:w="734" w:type="dxa"/>
            <w:tcBorders>
              <w:left w:val="nil"/>
              <w:right w:val="single" w:sz="2" w:space="0" w:color="000000"/>
            </w:tcBorders>
          </w:tcPr>
          <w:p>
            <w:pPr>
              <w:pStyle w:val="TableParagraph"/>
              <w:spacing w:before="9"/>
              <w:ind w:right="9"/>
              <w:rPr>
                <w:sz w:val="18"/>
              </w:rPr>
            </w:pPr>
            <w:r>
              <w:rPr>
                <w:sz w:val="18"/>
              </w:rPr>
              <w:t>842</w:t>
            </w:r>
          </w:p>
        </w:tc>
        <w:tc>
          <w:tcPr>
            <w:tcW w:w="400" w:type="dxa"/>
            <w:tcBorders>
              <w:left w:val="single" w:sz="2"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right w:val="single" w:sz="2" w:space="0" w:color="000000"/>
            </w:tcBorders>
          </w:tcPr>
          <w:p>
            <w:pPr>
              <w:pStyle w:val="TableParagraph"/>
              <w:spacing w:before="9"/>
              <w:ind w:left="94" w:right="101"/>
              <w:jc w:val="left"/>
              <w:rPr>
                <w:sz w:val="18"/>
              </w:rPr>
            </w:pPr>
            <w:r>
              <w:rPr>
                <w:sz w:val="18"/>
              </w:rPr>
              <w:t>Primljeni zajmovi od banaka i ostalih financijskih institucija u javnom sektoru</w:t>
            </w:r>
          </w:p>
        </w:tc>
        <w:tc>
          <w:tcPr>
            <w:tcW w:w="1830" w:type="dxa"/>
            <w:tcBorders>
              <w:left w:val="single" w:sz="2" w:space="0" w:color="000000"/>
              <w:right w:val="single" w:sz="2" w:space="0" w:color="000000"/>
            </w:tcBorders>
          </w:tcPr>
          <w:p>
            <w:pPr>
              <w:pStyle w:val="TableParagraph"/>
              <w:spacing w:before="9"/>
              <w:ind w:right="69"/>
              <w:rPr>
                <w:sz w:val="18"/>
              </w:rPr>
            </w:pPr>
            <w:r>
              <w:rPr>
                <w:sz w:val="18"/>
              </w:rPr>
              <w:t>0,00</w:t>
            </w:r>
          </w:p>
        </w:tc>
        <w:tc>
          <w:tcPr>
            <w:tcW w:w="1830" w:type="dxa"/>
            <w:tcBorders>
              <w:left w:val="single" w:sz="2" w:space="0" w:color="000000"/>
              <w:right w:val="single" w:sz="2" w:space="0" w:color="000000"/>
            </w:tcBorders>
          </w:tcPr>
          <w:p>
            <w:pPr>
              <w:pStyle w:val="TableParagraph"/>
              <w:spacing w:before="9"/>
              <w:ind w:right="68"/>
              <w:rPr>
                <w:sz w:val="18"/>
              </w:rPr>
            </w:pPr>
            <w:r>
              <w:rPr>
                <w:sz w:val="18"/>
              </w:rPr>
              <w:t>5.500.000,00</w:t>
            </w:r>
          </w:p>
        </w:tc>
        <w:tc>
          <w:tcPr>
            <w:tcW w:w="1830" w:type="dxa"/>
            <w:tcBorders>
              <w:left w:val="single" w:sz="2" w:space="0" w:color="000000"/>
              <w:right w:val="single" w:sz="2" w:space="0" w:color="000000"/>
            </w:tcBorders>
          </w:tcPr>
          <w:p>
            <w:pPr>
              <w:pStyle w:val="TableParagraph"/>
              <w:spacing w:before="9"/>
              <w:ind w:right="84"/>
              <w:rPr>
                <w:sz w:val="18"/>
              </w:rPr>
            </w:pPr>
            <w:r>
              <w:rPr>
                <w:sz w:val="18"/>
              </w:rPr>
              <w:t>5.500.000,00</w:t>
            </w:r>
          </w:p>
        </w:tc>
        <w:tc>
          <w:tcPr>
            <w:tcW w:w="1830" w:type="dxa"/>
            <w:tcBorders>
              <w:left w:val="single" w:sz="2" w:space="0" w:color="000000"/>
              <w:right w:val="single" w:sz="2" w:space="0" w:color="000000"/>
            </w:tcBorders>
          </w:tcPr>
          <w:p>
            <w:pPr>
              <w:pStyle w:val="TableParagraph"/>
              <w:spacing w:before="9"/>
              <w:ind w:right="59"/>
              <w:rPr>
                <w:sz w:val="18"/>
              </w:rPr>
            </w:pPr>
            <w:r>
              <w:rPr>
                <w:sz w:val="18"/>
              </w:rPr>
              <w:t>0,00</w:t>
            </w:r>
          </w:p>
        </w:tc>
        <w:tc>
          <w:tcPr>
            <w:tcW w:w="1115" w:type="dxa"/>
            <w:tcBorders>
              <w:left w:val="single" w:sz="2" w:space="0" w:color="000000"/>
              <w:right w:val="single" w:sz="2" w:space="0" w:color="000000"/>
            </w:tcBorders>
          </w:tcPr>
          <w:p>
            <w:pPr>
              <w:pStyle w:val="TableParagraph"/>
              <w:spacing w:before="0"/>
              <w:jc w:val="left"/>
              <w:rPr>
                <w:rFonts w:ascii="Times New Roman"/>
                <w:sz w:val="18"/>
              </w:rPr>
            </w:pPr>
          </w:p>
        </w:tc>
        <w:tc>
          <w:tcPr>
            <w:tcW w:w="1120" w:type="dxa"/>
            <w:tcBorders>
              <w:left w:val="single" w:sz="2" w:space="0" w:color="000000"/>
              <w:right w:val="nil"/>
            </w:tcBorders>
          </w:tcPr>
          <w:p>
            <w:pPr>
              <w:pStyle w:val="TableParagraph"/>
              <w:ind w:right="22"/>
              <w:rPr>
                <w:sz w:val="16"/>
              </w:rPr>
            </w:pPr>
            <w:r>
              <w:rPr>
                <w:sz w:val="16"/>
              </w:rPr>
              <w:t>0,00%</w:t>
            </w:r>
          </w:p>
        </w:tc>
      </w:tr>
      <w:tr>
        <w:trPr>
          <w:trHeight w:val="270" w:hRule="atLeast"/>
        </w:trPr>
        <w:tc>
          <w:tcPr>
            <w:tcW w:w="734" w:type="dxa"/>
            <w:tcBorders>
              <w:left w:val="nil"/>
              <w:bottom w:val="single" w:sz="6" w:space="0" w:color="000000"/>
              <w:right w:val="single" w:sz="2" w:space="0" w:color="000000"/>
            </w:tcBorders>
          </w:tcPr>
          <w:p>
            <w:pPr>
              <w:pStyle w:val="TableParagraph"/>
              <w:spacing w:before="9"/>
              <w:ind w:right="12"/>
              <w:rPr>
                <w:sz w:val="18"/>
              </w:rPr>
            </w:pPr>
            <w:r>
              <w:rPr>
                <w:sz w:val="18"/>
              </w:rPr>
              <w:t>8422</w:t>
            </w:r>
          </w:p>
        </w:tc>
        <w:tc>
          <w:tcPr>
            <w:tcW w:w="400" w:type="dxa"/>
            <w:tcBorders>
              <w:left w:val="single" w:sz="2" w:space="0" w:color="000000"/>
              <w:bottom w:val="single" w:sz="6" w:space="0" w:color="000000"/>
              <w:right w:val="single" w:sz="2" w:space="0" w:color="000000"/>
            </w:tcBorders>
          </w:tcPr>
          <w:p>
            <w:pPr>
              <w:pStyle w:val="TableParagraph"/>
              <w:spacing w:before="0"/>
              <w:jc w:val="left"/>
              <w:rPr>
                <w:rFonts w:ascii="Times New Roman"/>
                <w:sz w:val="18"/>
              </w:rPr>
            </w:pPr>
          </w:p>
        </w:tc>
        <w:tc>
          <w:tcPr>
            <w:tcW w:w="4672" w:type="dxa"/>
            <w:tcBorders>
              <w:left w:val="single" w:sz="2" w:space="0" w:color="000000"/>
              <w:bottom w:val="single" w:sz="6" w:space="0" w:color="000000"/>
              <w:right w:val="single" w:sz="2" w:space="0" w:color="000000"/>
            </w:tcBorders>
          </w:tcPr>
          <w:p>
            <w:pPr>
              <w:pStyle w:val="TableParagraph"/>
              <w:spacing w:before="9"/>
              <w:ind w:left="94"/>
              <w:jc w:val="left"/>
              <w:rPr>
                <w:sz w:val="18"/>
              </w:rPr>
            </w:pPr>
            <w:r>
              <w:rPr>
                <w:sz w:val="18"/>
              </w:rPr>
              <w:t>Primljeni krediti od kreditnih institucija u javnom sektoru</w:t>
            </w:r>
          </w:p>
        </w:tc>
        <w:tc>
          <w:tcPr>
            <w:tcW w:w="1830" w:type="dxa"/>
            <w:tcBorders>
              <w:left w:val="single" w:sz="2" w:space="0" w:color="000000"/>
              <w:bottom w:val="single" w:sz="6" w:space="0" w:color="000000"/>
              <w:right w:val="single" w:sz="2" w:space="0" w:color="000000"/>
            </w:tcBorders>
          </w:tcPr>
          <w:p>
            <w:pPr>
              <w:pStyle w:val="TableParagraph"/>
              <w:spacing w:before="9"/>
              <w:ind w:right="69"/>
              <w:rPr>
                <w:sz w:val="18"/>
              </w:rPr>
            </w:pPr>
            <w:r>
              <w:rPr>
                <w:sz w:val="18"/>
              </w:rPr>
              <w:t>0,00</w:t>
            </w:r>
          </w:p>
        </w:tc>
        <w:tc>
          <w:tcPr>
            <w:tcW w:w="1830" w:type="dxa"/>
            <w:tcBorders>
              <w:left w:val="single" w:sz="2" w:space="0" w:color="000000"/>
              <w:bottom w:val="single" w:sz="6" w:space="0" w:color="000000"/>
              <w:right w:val="single" w:sz="2" w:space="0" w:color="000000"/>
            </w:tcBorders>
          </w:tcPr>
          <w:p>
            <w:pPr>
              <w:pStyle w:val="TableParagraph"/>
              <w:spacing w:before="9"/>
              <w:ind w:right="68"/>
              <w:rPr>
                <w:sz w:val="18"/>
              </w:rPr>
            </w:pPr>
            <w:r>
              <w:rPr>
                <w:sz w:val="18"/>
              </w:rPr>
              <w:t>5.500.000,00</w:t>
            </w:r>
          </w:p>
        </w:tc>
        <w:tc>
          <w:tcPr>
            <w:tcW w:w="1830" w:type="dxa"/>
            <w:tcBorders>
              <w:left w:val="single" w:sz="2" w:space="0" w:color="000000"/>
              <w:bottom w:val="single" w:sz="6" w:space="0" w:color="000000"/>
              <w:right w:val="single" w:sz="2" w:space="0" w:color="000000"/>
            </w:tcBorders>
          </w:tcPr>
          <w:p>
            <w:pPr>
              <w:pStyle w:val="TableParagraph"/>
              <w:spacing w:before="9"/>
              <w:ind w:right="84"/>
              <w:rPr>
                <w:sz w:val="18"/>
              </w:rPr>
            </w:pPr>
            <w:r>
              <w:rPr>
                <w:sz w:val="18"/>
              </w:rPr>
              <w:t>5.500.000,00</w:t>
            </w:r>
          </w:p>
        </w:tc>
        <w:tc>
          <w:tcPr>
            <w:tcW w:w="1830" w:type="dxa"/>
            <w:tcBorders>
              <w:left w:val="single" w:sz="2" w:space="0" w:color="000000"/>
              <w:bottom w:val="single" w:sz="6" w:space="0" w:color="000000"/>
              <w:right w:val="single" w:sz="2" w:space="0" w:color="000000"/>
            </w:tcBorders>
          </w:tcPr>
          <w:p>
            <w:pPr>
              <w:pStyle w:val="TableParagraph"/>
              <w:spacing w:before="9"/>
              <w:ind w:right="59"/>
              <w:rPr>
                <w:sz w:val="18"/>
              </w:rPr>
            </w:pPr>
            <w:r>
              <w:rPr>
                <w:sz w:val="18"/>
              </w:rPr>
              <w:t>0,00</w:t>
            </w:r>
          </w:p>
        </w:tc>
        <w:tc>
          <w:tcPr>
            <w:tcW w:w="1115" w:type="dxa"/>
            <w:tcBorders>
              <w:left w:val="single" w:sz="2" w:space="0" w:color="000000"/>
              <w:bottom w:val="single" w:sz="6" w:space="0" w:color="000000"/>
              <w:right w:val="single" w:sz="2" w:space="0" w:color="000000"/>
            </w:tcBorders>
          </w:tcPr>
          <w:p>
            <w:pPr>
              <w:pStyle w:val="TableParagraph"/>
              <w:spacing w:before="0"/>
              <w:jc w:val="left"/>
              <w:rPr>
                <w:rFonts w:ascii="Times New Roman"/>
                <w:sz w:val="18"/>
              </w:rPr>
            </w:pPr>
          </w:p>
        </w:tc>
        <w:tc>
          <w:tcPr>
            <w:tcW w:w="1120" w:type="dxa"/>
            <w:tcBorders>
              <w:left w:val="single" w:sz="2" w:space="0" w:color="000000"/>
              <w:bottom w:val="single" w:sz="6" w:space="0" w:color="000000"/>
              <w:right w:val="nil"/>
            </w:tcBorders>
          </w:tcPr>
          <w:p>
            <w:pPr>
              <w:pStyle w:val="TableParagraph"/>
              <w:ind w:right="22"/>
              <w:rPr>
                <w:sz w:val="16"/>
              </w:rPr>
            </w:pPr>
            <w:r>
              <w:rPr>
                <w:sz w:val="16"/>
              </w:rPr>
              <w:t>0,00%</w:t>
            </w:r>
          </w:p>
        </w:tc>
      </w:tr>
    </w:tbl>
    <w:p>
      <w:pPr>
        <w:pStyle w:val="BodyText"/>
        <w:rPr>
          <w:sz w:val="20"/>
        </w:rPr>
      </w:pPr>
    </w:p>
    <w:p>
      <w:pPr>
        <w:pStyle w:val="BodyText"/>
        <w:spacing w:before="8" w:after="1"/>
        <w:rPr>
          <w:sz w:val="17"/>
        </w:rPr>
      </w:pPr>
    </w:p>
    <w:tbl>
      <w:tblPr>
        <w:tblW w:w="0" w:type="auto"/>
        <w:jc w:val="left"/>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08"/>
        <w:gridCol w:w="1831"/>
        <w:gridCol w:w="1831"/>
        <w:gridCol w:w="1831"/>
        <w:gridCol w:w="1831"/>
        <w:gridCol w:w="1116"/>
        <w:gridCol w:w="1121"/>
      </w:tblGrid>
      <w:tr>
        <w:trPr>
          <w:trHeight w:val="431" w:hRule="atLeast"/>
        </w:trPr>
        <w:tc>
          <w:tcPr>
            <w:tcW w:w="5808" w:type="dxa"/>
            <w:tcBorders>
              <w:left w:val="nil"/>
              <w:right w:val="single" w:sz="2" w:space="0" w:color="000000"/>
            </w:tcBorders>
            <w:shd w:val="clear" w:color="auto" w:fill="C0C0C0"/>
          </w:tcPr>
          <w:p>
            <w:pPr>
              <w:pStyle w:val="TableParagraph"/>
              <w:spacing w:before="69"/>
              <w:ind w:left="1291"/>
              <w:jc w:val="left"/>
              <w:rPr>
                <w:rFonts w:ascii="Arial"/>
                <w:sz w:val="24"/>
              </w:rPr>
            </w:pPr>
            <w:r>
              <w:rPr>
                <w:rFonts w:ascii="Arial"/>
                <w:sz w:val="24"/>
              </w:rPr>
              <w:t>UKUPNO</w:t>
            </w:r>
          </w:p>
        </w:tc>
        <w:tc>
          <w:tcPr>
            <w:tcW w:w="1831" w:type="dxa"/>
            <w:tcBorders>
              <w:left w:val="single" w:sz="2" w:space="0" w:color="000000"/>
              <w:right w:val="single" w:sz="2" w:space="0" w:color="000000"/>
            </w:tcBorders>
            <w:shd w:val="clear" w:color="auto" w:fill="C0C0C0"/>
          </w:tcPr>
          <w:p>
            <w:pPr>
              <w:pStyle w:val="TableParagraph"/>
              <w:spacing w:before="74"/>
              <w:ind w:left="717"/>
              <w:jc w:val="left"/>
              <w:rPr>
                <w:rFonts w:ascii="Arial"/>
                <w:sz w:val="24"/>
              </w:rPr>
            </w:pPr>
            <w:r>
              <w:rPr>
                <w:rFonts w:ascii="Arial"/>
                <w:w w:val="90"/>
                <w:sz w:val="24"/>
              </w:rPr>
              <w:t>-33.559,19</w:t>
            </w:r>
          </w:p>
        </w:tc>
        <w:tc>
          <w:tcPr>
            <w:tcW w:w="1831" w:type="dxa"/>
            <w:tcBorders>
              <w:left w:val="single" w:sz="2" w:space="0" w:color="000000"/>
              <w:right w:val="single" w:sz="2" w:space="0" w:color="000000"/>
            </w:tcBorders>
            <w:shd w:val="clear" w:color="auto" w:fill="C0C0C0"/>
          </w:tcPr>
          <w:p>
            <w:pPr>
              <w:pStyle w:val="TableParagraph"/>
              <w:spacing w:before="74"/>
              <w:ind w:left="506"/>
              <w:jc w:val="left"/>
              <w:rPr>
                <w:rFonts w:ascii="Arial"/>
                <w:sz w:val="24"/>
              </w:rPr>
            </w:pPr>
            <w:r>
              <w:rPr>
                <w:rFonts w:ascii="Arial"/>
                <w:w w:val="90"/>
                <w:sz w:val="24"/>
              </w:rPr>
              <w:t>5.500.000,00</w:t>
            </w:r>
          </w:p>
        </w:tc>
        <w:tc>
          <w:tcPr>
            <w:tcW w:w="1831" w:type="dxa"/>
            <w:tcBorders>
              <w:left w:val="single" w:sz="2" w:space="0" w:color="000000"/>
              <w:right w:val="single" w:sz="2" w:space="0" w:color="000000"/>
            </w:tcBorders>
            <w:shd w:val="clear" w:color="auto" w:fill="C0C0C0"/>
          </w:tcPr>
          <w:p>
            <w:pPr>
              <w:pStyle w:val="TableParagraph"/>
              <w:spacing w:before="69"/>
              <w:ind w:left="492"/>
              <w:jc w:val="left"/>
              <w:rPr>
                <w:rFonts w:ascii="Arial"/>
                <w:sz w:val="24"/>
              </w:rPr>
            </w:pPr>
            <w:r>
              <w:rPr>
                <w:rFonts w:ascii="Arial"/>
                <w:w w:val="90"/>
                <w:sz w:val="24"/>
              </w:rPr>
              <w:t>5.500.000,00</w:t>
            </w:r>
          </w:p>
        </w:tc>
        <w:tc>
          <w:tcPr>
            <w:tcW w:w="1831" w:type="dxa"/>
            <w:tcBorders>
              <w:left w:val="single" w:sz="2" w:space="0" w:color="000000"/>
              <w:right w:val="single" w:sz="2" w:space="0" w:color="000000"/>
            </w:tcBorders>
            <w:shd w:val="clear" w:color="auto" w:fill="C0C0C0"/>
          </w:tcPr>
          <w:p>
            <w:pPr>
              <w:pStyle w:val="TableParagraph"/>
              <w:spacing w:before="74"/>
              <w:ind w:right="59"/>
              <w:rPr>
                <w:rFonts w:ascii="Arial"/>
                <w:sz w:val="24"/>
              </w:rPr>
            </w:pPr>
            <w:r>
              <w:rPr>
                <w:rFonts w:ascii="Arial"/>
                <w:sz w:val="24"/>
              </w:rPr>
              <w:t>0,00</w:t>
            </w:r>
          </w:p>
        </w:tc>
        <w:tc>
          <w:tcPr>
            <w:tcW w:w="1116" w:type="dxa"/>
            <w:tcBorders>
              <w:left w:val="single" w:sz="2" w:space="0" w:color="000000"/>
              <w:right w:val="single" w:sz="2" w:space="0" w:color="000000"/>
            </w:tcBorders>
            <w:shd w:val="clear" w:color="auto" w:fill="C0C0C0"/>
          </w:tcPr>
          <w:p>
            <w:pPr>
              <w:pStyle w:val="TableParagraph"/>
              <w:spacing w:before="79"/>
              <w:ind w:left="473" w:right="-29"/>
              <w:jc w:val="left"/>
              <w:rPr>
                <w:rFonts w:ascii="Arial"/>
                <w:sz w:val="24"/>
              </w:rPr>
            </w:pPr>
            <w:r>
              <w:rPr>
                <w:rFonts w:ascii="Arial"/>
                <w:w w:val="95"/>
                <w:sz w:val="24"/>
              </w:rPr>
              <w:t>0,00%</w:t>
            </w:r>
          </w:p>
        </w:tc>
        <w:tc>
          <w:tcPr>
            <w:tcW w:w="1121" w:type="dxa"/>
            <w:tcBorders>
              <w:left w:val="single" w:sz="2" w:space="0" w:color="000000"/>
              <w:right w:val="nil"/>
            </w:tcBorders>
            <w:shd w:val="clear" w:color="auto" w:fill="C0C0C0"/>
          </w:tcPr>
          <w:p>
            <w:pPr>
              <w:pStyle w:val="TableParagraph"/>
              <w:spacing w:before="79"/>
              <w:ind w:left="452"/>
              <w:jc w:val="left"/>
              <w:rPr>
                <w:rFonts w:ascii="Arial"/>
                <w:sz w:val="24"/>
              </w:rPr>
            </w:pPr>
            <w:r>
              <w:rPr>
                <w:rFonts w:ascii="Arial"/>
                <w:w w:val="95"/>
                <w:sz w:val="24"/>
              </w:rPr>
              <w:t>0,00%</w:t>
            </w:r>
          </w:p>
        </w:tc>
      </w:tr>
    </w:tbl>
    <w:p>
      <w:pPr>
        <w:spacing w:after="0"/>
        <w:jc w:val="left"/>
        <w:rPr>
          <w:rFonts w:ascii="Arial"/>
          <w:sz w:val="24"/>
        </w:rPr>
        <w:sectPr>
          <w:pgSz w:w="16840" w:h="11900" w:orient="landscape"/>
          <w:pgMar w:header="0" w:footer="718" w:top="0" w:bottom="900" w:left="740" w:right="340"/>
        </w:sectPr>
      </w:pPr>
    </w:p>
    <w:p>
      <w:pPr>
        <w:pStyle w:val="BodyText"/>
        <w:spacing w:before="9"/>
        <w:rPr>
          <w:sz w:val="2"/>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6"/>
        <w:gridCol w:w="7780"/>
        <w:gridCol w:w="1833"/>
        <w:gridCol w:w="1832"/>
        <w:gridCol w:w="1833"/>
        <w:gridCol w:w="1105"/>
      </w:tblGrid>
      <w:tr>
        <w:trPr>
          <w:trHeight w:val="828" w:hRule="atLeast"/>
        </w:trPr>
        <w:tc>
          <w:tcPr>
            <w:tcW w:w="15519" w:type="dxa"/>
            <w:gridSpan w:val="6"/>
            <w:tcBorders>
              <w:left w:val="nil"/>
              <w:bottom w:val="single" w:sz="8" w:space="0" w:color="000000"/>
              <w:right w:val="nil"/>
            </w:tcBorders>
            <w:shd w:val="clear" w:color="auto" w:fill="C0C0C0"/>
          </w:tcPr>
          <w:p>
            <w:pPr>
              <w:pStyle w:val="TableParagraph"/>
              <w:spacing w:before="56"/>
              <w:ind w:left="1437" w:right="1471"/>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37" w:right="1374"/>
              <w:jc w:val="center"/>
              <w:rPr>
                <w:rFonts w:ascii="Times New Roman"/>
                <w:sz w:val="22"/>
              </w:rPr>
            </w:pPr>
            <w:r>
              <w:rPr>
                <w:rFonts w:ascii="Times New Roman"/>
                <w:sz w:val="22"/>
              </w:rPr>
              <w:t>POSEBNI DIO - ORGANIZACIJSKA KLASIFIKACIJA</w:t>
            </w:r>
          </w:p>
        </w:tc>
      </w:tr>
      <w:tr>
        <w:trPr>
          <w:trHeight w:val="846" w:hRule="atLeast"/>
        </w:trPr>
        <w:tc>
          <w:tcPr>
            <w:tcW w:w="1136" w:type="dxa"/>
            <w:tcBorders>
              <w:top w:val="single" w:sz="8" w:space="0" w:color="000000"/>
              <w:left w:val="nil"/>
              <w:bottom w:val="single" w:sz="8" w:space="0" w:color="000000"/>
              <w:right w:val="single" w:sz="2" w:space="0" w:color="000000"/>
            </w:tcBorders>
            <w:shd w:val="clear" w:color="auto" w:fill="C0C0C0"/>
          </w:tcPr>
          <w:p>
            <w:pPr>
              <w:pStyle w:val="TableParagraph"/>
              <w:spacing w:before="8"/>
              <w:ind w:left="247" w:right="233" w:hanging="5"/>
              <w:jc w:val="center"/>
              <w:rPr>
                <w:sz w:val="20"/>
              </w:rPr>
            </w:pPr>
            <w:r>
              <w:rPr>
                <w:sz w:val="20"/>
              </w:rPr>
              <w:t>Račun/ </w:t>
            </w:r>
            <w:r>
              <w:rPr>
                <w:w w:val="95"/>
                <w:sz w:val="20"/>
              </w:rPr>
              <w:t>Pozicija</w:t>
            </w:r>
          </w:p>
          <w:p>
            <w:pPr>
              <w:pStyle w:val="TableParagraph"/>
              <w:spacing w:before="84"/>
              <w:ind w:left="160"/>
              <w:jc w:val="center"/>
              <w:rPr>
                <w:sz w:val="18"/>
              </w:rPr>
            </w:pPr>
            <w:r>
              <w:rPr>
                <w:w w:val="100"/>
                <w:sz w:val="18"/>
              </w:rPr>
              <w:t>1</w:t>
            </w:r>
          </w:p>
        </w:tc>
        <w:tc>
          <w:tcPr>
            <w:tcW w:w="7780"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1" w:right="3678"/>
              <w:jc w:val="center"/>
              <w:rPr>
                <w:sz w:val="20"/>
              </w:rPr>
            </w:pPr>
            <w:r>
              <w:rPr>
                <w:sz w:val="20"/>
              </w:rPr>
              <w:t>Opis</w:t>
            </w:r>
          </w:p>
          <w:p>
            <w:pPr>
              <w:pStyle w:val="TableParagraph"/>
              <w:spacing w:before="4"/>
              <w:jc w:val="left"/>
              <w:rPr>
                <w:rFonts w:ascii="Times New Roman"/>
                <w:sz w:val="28"/>
              </w:rPr>
            </w:pPr>
          </w:p>
          <w:p>
            <w:pPr>
              <w:pStyle w:val="TableParagraph"/>
              <w:spacing w:before="0"/>
              <w:ind w:right="5"/>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8"/>
              <w:jc w:val="center"/>
              <w:rPr>
                <w:sz w:val="20"/>
              </w:rPr>
            </w:pPr>
            <w:r>
              <w:rPr>
                <w:sz w:val="20"/>
              </w:rPr>
              <w:t>Izvorni plan za 2014. godinu</w:t>
            </w:r>
          </w:p>
          <w:p>
            <w:pPr>
              <w:pStyle w:val="TableParagraph"/>
              <w:spacing w:before="89"/>
              <w:ind w:left="22"/>
              <w:jc w:val="center"/>
              <w:rPr>
                <w:sz w:val="18"/>
              </w:rPr>
            </w:pPr>
            <w:r>
              <w:rPr>
                <w:w w:val="100"/>
                <w:sz w:val="18"/>
              </w:rPr>
              <w:t>3</w:t>
            </w:r>
          </w:p>
        </w:tc>
        <w:tc>
          <w:tcPr>
            <w:tcW w:w="183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83" w:right="135"/>
              <w:jc w:val="center"/>
              <w:rPr>
                <w:sz w:val="20"/>
              </w:rPr>
            </w:pPr>
            <w:r>
              <w:rPr>
                <w:sz w:val="20"/>
              </w:rPr>
              <w:t>Tekući plan za 2014. godinu</w:t>
            </w:r>
          </w:p>
          <w:p>
            <w:pPr>
              <w:pStyle w:val="TableParagraph"/>
              <w:spacing w:before="89"/>
              <w:ind w:left="10"/>
              <w:jc w:val="center"/>
              <w:rPr>
                <w:sz w:val="18"/>
              </w:rPr>
            </w:pPr>
            <w:r>
              <w:rPr>
                <w:w w:val="100"/>
                <w:sz w:val="18"/>
              </w:rPr>
              <w:t>4</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38" w:right="138"/>
              <w:jc w:val="center"/>
              <w:rPr>
                <w:sz w:val="20"/>
              </w:rPr>
            </w:pPr>
            <w:r>
              <w:rPr>
                <w:sz w:val="20"/>
              </w:rPr>
              <w:t>Izvršenje 01.01.-</w:t>
            </w:r>
          </w:p>
          <w:p>
            <w:pPr>
              <w:pStyle w:val="TableParagraph"/>
              <w:spacing w:line="241" w:lineRule="exact" w:before="0"/>
              <w:ind w:left="81" w:right="138"/>
              <w:jc w:val="center"/>
              <w:rPr>
                <w:sz w:val="20"/>
              </w:rPr>
            </w:pPr>
            <w:r>
              <w:rPr>
                <w:sz w:val="20"/>
              </w:rPr>
              <w:t>30.06.2014.</w:t>
            </w:r>
          </w:p>
          <w:p>
            <w:pPr>
              <w:pStyle w:val="TableParagraph"/>
              <w:spacing w:before="90"/>
              <w:ind w:left="2"/>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46" w:right="235"/>
              <w:jc w:val="center"/>
              <w:rPr>
                <w:sz w:val="20"/>
              </w:rPr>
            </w:pPr>
            <w:r>
              <w:rPr>
                <w:w w:val="95"/>
                <w:sz w:val="20"/>
              </w:rPr>
              <w:t>Indeks </w:t>
            </w:r>
            <w:r>
              <w:rPr>
                <w:sz w:val="20"/>
              </w:rPr>
              <w:t>5/4</w:t>
            </w:r>
          </w:p>
          <w:p>
            <w:pPr>
              <w:pStyle w:val="TableParagraph"/>
              <w:spacing w:before="89"/>
              <w:ind w:left="14"/>
              <w:jc w:val="center"/>
              <w:rPr>
                <w:sz w:val="18"/>
              </w:rPr>
            </w:pPr>
            <w:r>
              <w:rPr>
                <w:w w:val="100"/>
                <w:sz w:val="18"/>
              </w:rPr>
              <w:t>6</w:t>
            </w:r>
          </w:p>
        </w:tc>
      </w:tr>
      <w:tr>
        <w:trPr>
          <w:trHeight w:val="505" w:hRule="atLeast"/>
        </w:trPr>
        <w:tc>
          <w:tcPr>
            <w:tcW w:w="1136" w:type="dxa"/>
            <w:tcBorders>
              <w:top w:val="single" w:sz="8" w:space="0" w:color="000000"/>
              <w:left w:val="nil"/>
              <w:bottom w:val="single" w:sz="8" w:space="0" w:color="000000"/>
              <w:right w:val="single" w:sz="2" w:space="0" w:color="000000"/>
            </w:tcBorders>
            <w:shd w:val="clear" w:color="auto" w:fill="656599"/>
          </w:tcPr>
          <w:p>
            <w:pPr>
              <w:pStyle w:val="TableParagraph"/>
              <w:spacing w:before="9"/>
              <w:ind w:left="21"/>
              <w:jc w:val="left"/>
              <w:rPr>
                <w:rFonts w:ascii="Verdana"/>
                <w:sz w:val="16"/>
              </w:rPr>
            </w:pPr>
            <w:r>
              <w:rPr>
                <w:rFonts w:ascii="Verdana"/>
                <w:sz w:val="16"/>
              </w:rPr>
              <w:t>RAZDJEL</w:t>
            </w:r>
          </w:p>
          <w:p>
            <w:pPr>
              <w:pStyle w:val="TableParagraph"/>
              <w:spacing w:line="193" w:lineRule="exact" w:before="89"/>
              <w:ind w:right="10"/>
              <w:rPr>
                <w:rFonts w:ascii="Verdana"/>
                <w:sz w:val="16"/>
              </w:rPr>
            </w:pPr>
            <w:r>
              <w:rPr>
                <w:rFonts w:ascii="Verdana"/>
                <w:sz w:val="16"/>
              </w:rPr>
              <w:t>001</w:t>
            </w:r>
          </w:p>
        </w:tc>
        <w:tc>
          <w:tcPr>
            <w:tcW w:w="7780"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75"/>
              <w:jc w:val="left"/>
              <w:rPr>
                <w:rFonts w:ascii="Verdana" w:hAnsi="Verdana"/>
                <w:sz w:val="20"/>
              </w:rPr>
            </w:pPr>
            <w:r>
              <w:rPr>
                <w:rFonts w:ascii="Verdana" w:hAnsi="Verdana"/>
                <w:sz w:val="20"/>
              </w:rPr>
              <w:t>GRADSKO VIJEĆE, URED GRADONAČELNIKA</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6"/>
              <w:rPr>
                <w:rFonts w:ascii="Verdana"/>
                <w:sz w:val="20"/>
              </w:rPr>
            </w:pPr>
            <w:r>
              <w:rPr>
                <w:rFonts w:ascii="Verdana"/>
                <w:sz w:val="20"/>
              </w:rPr>
              <w:t>241.000,00</w:t>
            </w:r>
          </w:p>
        </w:tc>
        <w:tc>
          <w:tcPr>
            <w:tcW w:w="1832"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9"/>
              <w:rPr>
                <w:rFonts w:ascii="Verdana"/>
                <w:sz w:val="20"/>
              </w:rPr>
            </w:pPr>
            <w:r>
              <w:rPr>
                <w:rFonts w:ascii="Verdana"/>
                <w:sz w:val="20"/>
              </w:rPr>
              <w:t>296.000,00</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85"/>
              <w:rPr>
                <w:rFonts w:ascii="Verdana"/>
                <w:sz w:val="20"/>
              </w:rPr>
            </w:pPr>
            <w:r>
              <w:rPr>
                <w:rFonts w:ascii="Verdana"/>
                <w:sz w:val="20"/>
              </w:rPr>
              <w:t>221.679,25</w:t>
            </w:r>
          </w:p>
        </w:tc>
        <w:tc>
          <w:tcPr>
            <w:tcW w:w="1105"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69"/>
              <w:rPr>
                <w:rFonts w:ascii="Verdana"/>
                <w:sz w:val="20"/>
              </w:rPr>
            </w:pPr>
            <w:r>
              <w:rPr>
                <w:rFonts w:ascii="Verdana"/>
                <w:sz w:val="20"/>
              </w:rPr>
              <w:t>74,89%</w:t>
            </w:r>
          </w:p>
        </w:tc>
      </w:tr>
      <w:tr>
        <w:trPr>
          <w:trHeight w:val="503" w:hRule="atLeast"/>
        </w:trPr>
        <w:tc>
          <w:tcPr>
            <w:tcW w:w="1136" w:type="dxa"/>
            <w:tcBorders>
              <w:top w:val="single" w:sz="8" w:space="0" w:color="000000"/>
              <w:left w:val="nil"/>
              <w:bottom w:val="single" w:sz="8" w:space="0" w:color="000000"/>
              <w:right w:val="single" w:sz="2" w:space="0" w:color="000000"/>
            </w:tcBorders>
            <w:shd w:val="clear" w:color="auto" w:fill="C4D6DF"/>
          </w:tcPr>
          <w:p>
            <w:pPr>
              <w:pStyle w:val="TableParagraph"/>
              <w:spacing w:before="9"/>
              <w:ind w:left="21"/>
              <w:jc w:val="left"/>
              <w:rPr>
                <w:rFonts w:ascii="Verdana"/>
                <w:sz w:val="16"/>
              </w:rPr>
            </w:pPr>
            <w:r>
              <w:rPr>
                <w:rFonts w:ascii="Verdana"/>
                <w:sz w:val="16"/>
              </w:rPr>
              <w:t>GLAVA</w:t>
            </w:r>
          </w:p>
          <w:p>
            <w:pPr>
              <w:pStyle w:val="TableParagraph"/>
              <w:spacing w:before="31"/>
              <w:ind w:left="611"/>
              <w:jc w:val="left"/>
              <w:rPr>
                <w:rFonts w:ascii="Verdana"/>
                <w:sz w:val="16"/>
              </w:rPr>
            </w:pPr>
            <w:r>
              <w:rPr>
                <w:rFonts w:ascii="Verdana"/>
                <w:sz w:val="16"/>
              </w:rPr>
              <w:t>00101</w:t>
            </w:r>
          </w:p>
        </w:tc>
        <w:tc>
          <w:tcPr>
            <w:tcW w:w="778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5"/>
              <w:jc w:val="left"/>
              <w:rPr>
                <w:rFonts w:ascii="Verdana" w:hAnsi="Verdana"/>
                <w:sz w:val="20"/>
              </w:rPr>
            </w:pPr>
            <w:r>
              <w:rPr>
                <w:rFonts w:ascii="Verdana" w:hAnsi="Verdana"/>
                <w:sz w:val="20"/>
              </w:rPr>
              <w:t>GRADSKO VIJEĆE, URED GRADONAČELNIKA</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6"/>
              <w:rPr>
                <w:rFonts w:ascii="Verdana"/>
                <w:sz w:val="20"/>
              </w:rPr>
            </w:pPr>
            <w:r>
              <w:rPr>
                <w:rFonts w:ascii="Verdana"/>
                <w:sz w:val="20"/>
              </w:rPr>
              <w:t>241.000,00</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9"/>
              <w:rPr>
                <w:rFonts w:ascii="Verdana"/>
                <w:sz w:val="20"/>
              </w:rPr>
            </w:pPr>
            <w:r>
              <w:rPr>
                <w:rFonts w:ascii="Verdana"/>
                <w:sz w:val="20"/>
              </w:rPr>
              <w:t>296.000,00</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5"/>
              <w:rPr>
                <w:rFonts w:ascii="Verdana"/>
                <w:sz w:val="20"/>
              </w:rPr>
            </w:pPr>
            <w:r>
              <w:rPr>
                <w:rFonts w:ascii="Verdana"/>
                <w:sz w:val="20"/>
              </w:rPr>
              <w:t>221.679,25</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9"/>
              <w:rPr>
                <w:rFonts w:ascii="Verdana"/>
                <w:sz w:val="20"/>
              </w:rPr>
            </w:pPr>
            <w:r>
              <w:rPr>
                <w:rFonts w:ascii="Verdana"/>
                <w:sz w:val="20"/>
              </w:rPr>
              <w:t>74,89%</w:t>
            </w:r>
          </w:p>
        </w:tc>
      </w:tr>
      <w:tr>
        <w:trPr>
          <w:trHeight w:val="505" w:hRule="atLeast"/>
        </w:trPr>
        <w:tc>
          <w:tcPr>
            <w:tcW w:w="1136" w:type="dxa"/>
            <w:tcBorders>
              <w:top w:val="single" w:sz="8" w:space="0" w:color="000000"/>
              <w:left w:val="nil"/>
              <w:bottom w:val="single" w:sz="8" w:space="0" w:color="000000"/>
              <w:right w:val="single" w:sz="2" w:space="0" w:color="000000"/>
            </w:tcBorders>
            <w:shd w:val="clear" w:color="auto" w:fill="656599"/>
          </w:tcPr>
          <w:p>
            <w:pPr>
              <w:pStyle w:val="TableParagraph"/>
              <w:spacing w:before="9"/>
              <w:ind w:left="21"/>
              <w:jc w:val="left"/>
              <w:rPr>
                <w:rFonts w:ascii="Verdana"/>
                <w:sz w:val="16"/>
              </w:rPr>
            </w:pPr>
            <w:r>
              <w:rPr>
                <w:rFonts w:ascii="Verdana"/>
                <w:sz w:val="16"/>
              </w:rPr>
              <w:t>RAZDJEL</w:t>
            </w:r>
          </w:p>
          <w:p>
            <w:pPr>
              <w:pStyle w:val="TableParagraph"/>
              <w:spacing w:line="193" w:lineRule="exact" w:before="89"/>
              <w:ind w:right="10"/>
              <w:rPr>
                <w:rFonts w:ascii="Verdana"/>
                <w:sz w:val="16"/>
              </w:rPr>
            </w:pPr>
            <w:r>
              <w:rPr>
                <w:rFonts w:ascii="Verdana"/>
                <w:sz w:val="16"/>
              </w:rPr>
              <w:t>002</w:t>
            </w:r>
          </w:p>
        </w:tc>
        <w:tc>
          <w:tcPr>
            <w:tcW w:w="7780"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75"/>
              <w:jc w:val="left"/>
              <w:rPr>
                <w:rFonts w:ascii="Verdana" w:hAnsi="Verdana"/>
                <w:sz w:val="20"/>
              </w:rPr>
            </w:pPr>
            <w:r>
              <w:rPr>
                <w:rFonts w:ascii="Verdana" w:hAnsi="Verdana"/>
                <w:sz w:val="20"/>
              </w:rPr>
              <w:t>UPRAVNI ODJEL ZA OPĆE POSLOVE I DRUŠTVENE DJELATNOSTI</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8"/>
              <w:rPr>
                <w:rFonts w:ascii="Verdana"/>
                <w:sz w:val="20"/>
              </w:rPr>
            </w:pPr>
            <w:r>
              <w:rPr>
                <w:rFonts w:ascii="Verdana"/>
                <w:sz w:val="20"/>
              </w:rPr>
              <w:t>5.463.952,96</w:t>
            </w:r>
          </w:p>
        </w:tc>
        <w:tc>
          <w:tcPr>
            <w:tcW w:w="1832"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81"/>
              <w:rPr>
                <w:rFonts w:ascii="Verdana"/>
                <w:sz w:val="20"/>
              </w:rPr>
            </w:pPr>
            <w:r>
              <w:rPr>
                <w:rFonts w:ascii="Verdana"/>
                <w:sz w:val="20"/>
              </w:rPr>
              <w:t>5.463.952,96</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87"/>
              <w:rPr>
                <w:rFonts w:ascii="Verdana"/>
                <w:sz w:val="20"/>
              </w:rPr>
            </w:pPr>
            <w:r>
              <w:rPr>
                <w:rFonts w:ascii="Verdana"/>
                <w:sz w:val="20"/>
              </w:rPr>
              <w:t>2.528.439,06</w:t>
            </w:r>
          </w:p>
        </w:tc>
        <w:tc>
          <w:tcPr>
            <w:tcW w:w="1105"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69"/>
              <w:rPr>
                <w:rFonts w:ascii="Verdana"/>
                <w:sz w:val="20"/>
              </w:rPr>
            </w:pPr>
            <w:r>
              <w:rPr>
                <w:rFonts w:ascii="Verdana"/>
                <w:sz w:val="20"/>
              </w:rPr>
              <w:t>46,27%</w:t>
            </w:r>
          </w:p>
        </w:tc>
      </w:tr>
      <w:tr>
        <w:trPr>
          <w:trHeight w:val="505" w:hRule="atLeast"/>
        </w:trPr>
        <w:tc>
          <w:tcPr>
            <w:tcW w:w="1136" w:type="dxa"/>
            <w:tcBorders>
              <w:top w:val="single" w:sz="8" w:space="0" w:color="000000"/>
              <w:left w:val="nil"/>
              <w:bottom w:val="single" w:sz="8" w:space="0" w:color="000000"/>
              <w:right w:val="single" w:sz="2" w:space="0" w:color="000000"/>
            </w:tcBorders>
            <w:shd w:val="clear" w:color="auto" w:fill="C4D6DF"/>
          </w:tcPr>
          <w:p>
            <w:pPr>
              <w:pStyle w:val="TableParagraph"/>
              <w:spacing w:before="9"/>
              <w:ind w:left="21"/>
              <w:jc w:val="left"/>
              <w:rPr>
                <w:rFonts w:ascii="Verdana"/>
                <w:sz w:val="16"/>
              </w:rPr>
            </w:pPr>
            <w:r>
              <w:rPr>
                <w:rFonts w:ascii="Verdana"/>
                <w:sz w:val="16"/>
              </w:rPr>
              <w:t>GLAVA</w:t>
            </w:r>
          </w:p>
          <w:p>
            <w:pPr>
              <w:pStyle w:val="TableParagraph"/>
              <w:spacing w:before="31"/>
              <w:ind w:left="611"/>
              <w:jc w:val="left"/>
              <w:rPr>
                <w:rFonts w:ascii="Verdana"/>
                <w:sz w:val="16"/>
              </w:rPr>
            </w:pPr>
            <w:r>
              <w:rPr>
                <w:rFonts w:ascii="Verdana"/>
                <w:sz w:val="16"/>
              </w:rPr>
              <w:t>00201</w:t>
            </w:r>
          </w:p>
        </w:tc>
        <w:tc>
          <w:tcPr>
            <w:tcW w:w="778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5"/>
              <w:jc w:val="left"/>
              <w:rPr>
                <w:rFonts w:ascii="Verdana" w:hAnsi="Verdana"/>
                <w:sz w:val="20"/>
              </w:rPr>
            </w:pPr>
            <w:r>
              <w:rPr>
                <w:rFonts w:ascii="Verdana" w:hAnsi="Verdana"/>
                <w:sz w:val="20"/>
              </w:rPr>
              <w:t>UO ZA OPĆE POSLOVE I DRUŠTVENE DJELATNOSTI</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8"/>
              <w:rPr>
                <w:rFonts w:ascii="Verdana"/>
                <w:sz w:val="20"/>
              </w:rPr>
            </w:pPr>
            <w:r>
              <w:rPr>
                <w:rFonts w:ascii="Verdana"/>
                <w:sz w:val="20"/>
              </w:rPr>
              <w:t>1.235.000,00</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1"/>
              <w:rPr>
                <w:rFonts w:ascii="Verdana"/>
                <w:sz w:val="20"/>
              </w:rPr>
            </w:pPr>
            <w:r>
              <w:rPr>
                <w:rFonts w:ascii="Verdana"/>
                <w:sz w:val="20"/>
              </w:rPr>
              <w:t>1.235.000,00</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5"/>
              <w:rPr>
                <w:rFonts w:ascii="Verdana"/>
                <w:sz w:val="20"/>
              </w:rPr>
            </w:pPr>
            <w:r>
              <w:rPr>
                <w:rFonts w:ascii="Verdana"/>
                <w:sz w:val="20"/>
              </w:rPr>
              <w:t>682.123,23</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9"/>
              <w:rPr>
                <w:rFonts w:ascii="Verdana"/>
                <w:sz w:val="20"/>
              </w:rPr>
            </w:pPr>
            <w:r>
              <w:rPr>
                <w:rFonts w:ascii="Verdana"/>
                <w:sz w:val="20"/>
              </w:rPr>
              <w:t>55,23%</w:t>
            </w:r>
          </w:p>
        </w:tc>
      </w:tr>
      <w:tr>
        <w:trPr>
          <w:trHeight w:val="505" w:hRule="atLeast"/>
        </w:trPr>
        <w:tc>
          <w:tcPr>
            <w:tcW w:w="1136" w:type="dxa"/>
            <w:tcBorders>
              <w:top w:val="single" w:sz="8" w:space="0" w:color="000000"/>
              <w:left w:val="nil"/>
              <w:bottom w:val="single" w:sz="8" w:space="0" w:color="000000"/>
              <w:right w:val="single" w:sz="2" w:space="0" w:color="000000"/>
            </w:tcBorders>
            <w:shd w:val="clear" w:color="auto" w:fill="C4D6DF"/>
          </w:tcPr>
          <w:p>
            <w:pPr>
              <w:pStyle w:val="TableParagraph"/>
              <w:spacing w:before="9"/>
              <w:ind w:left="21"/>
              <w:jc w:val="left"/>
              <w:rPr>
                <w:rFonts w:ascii="Verdana"/>
                <w:sz w:val="16"/>
              </w:rPr>
            </w:pPr>
            <w:r>
              <w:rPr>
                <w:rFonts w:ascii="Verdana"/>
                <w:sz w:val="16"/>
              </w:rPr>
              <w:t>GLAVA</w:t>
            </w:r>
          </w:p>
          <w:p>
            <w:pPr>
              <w:pStyle w:val="TableParagraph"/>
              <w:spacing w:before="31"/>
              <w:ind w:left="611"/>
              <w:jc w:val="left"/>
              <w:rPr>
                <w:rFonts w:ascii="Verdana"/>
                <w:sz w:val="16"/>
              </w:rPr>
            </w:pPr>
            <w:r>
              <w:rPr>
                <w:rFonts w:ascii="Verdana"/>
                <w:sz w:val="16"/>
              </w:rPr>
              <w:t>00202</w:t>
            </w:r>
          </w:p>
        </w:tc>
        <w:tc>
          <w:tcPr>
            <w:tcW w:w="778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5"/>
              <w:jc w:val="left"/>
              <w:rPr>
                <w:rFonts w:ascii="Verdana" w:hAnsi="Verdana"/>
                <w:sz w:val="20"/>
              </w:rPr>
            </w:pPr>
            <w:r>
              <w:rPr>
                <w:rFonts w:ascii="Verdana" w:hAnsi="Verdana"/>
                <w:sz w:val="20"/>
              </w:rPr>
              <w:t>PRORAČUNSKI KORISNIK: 27476- PUČKO OTVORENO UČILIŠTE</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6"/>
              <w:rPr>
                <w:rFonts w:ascii="Verdana"/>
                <w:sz w:val="20"/>
              </w:rPr>
            </w:pPr>
            <w:r>
              <w:rPr>
                <w:rFonts w:ascii="Verdana"/>
                <w:sz w:val="20"/>
              </w:rPr>
              <w:t>28.952,96</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9"/>
              <w:rPr>
                <w:rFonts w:ascii="Verdana"/>
                <w:sz w:val="20"/>
              </w:rPr>
            </w:pPr>
            <w:r>
              <w:rPr>
                <w:rFonts w:ascii="Verdana"/>
                <w:sz w:val="20"/>
              </w:rPr>
              <w:t>28.952,96</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3"/>
              <w:rPr>
                <w:rFonts w:ascii="Verdana"/>
                <w:sz w:val="20"/>
              </w:rPr>
            </w:pPr>
            <w:r>
              <w:rPr>
                <w:rFonts w:ascii="Verdana"/>
                <w:sz w:val="20"/>
              </w:rPr>
              <w:t>3.178,59</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9"/>
              <w:rPr>
                <w:rFonts w:ascii="Verdana"/>
                <w:sz w:val="20"/>
              </w:rPr>
            </w:pPr>
            <w:r>
              <w:rPr>
                <w:rFonts w:ascii="Verdana"/>
                <w:sz w:val="20"/>
              </w:rPr>
              <w:t>10,98%</w:t>
            </w:r>
          </w:p>
        </w:tc>
      </w:tr>
      <w:tr>
        <w:trPr>
          <w:trHeight w:val="503" w:hRule="atLeast"/>
        </w:trPr>
        <w:tc>
          <w:tcPr>
            <w:tcW w:w="1136" w:type="dxa"/>
            <w:tcBorders>
              <w:top w:val="single" w:sz="8" w:space="0" w:color="000000"/>
              <w:left w:val="nil"/>
              <w:bottom w:val="single" w:sz="8" w:space="0" w:color="000000"/>
              <w:right w:val="single" w:sz="2" w:space="0" w:color="000000"/>
            </w:tcBorders>
            <w:shd w:val="clear" w:color="auto" w:fill="C4D6DF"/>
          </w:tcPr>
          <w:p>
            <w:pPr>
              <w:pStyle w:val="TableParagraph"/>
              <w:spacing w:before="9"/>
              <w:ind w:left="21"/>
              <w:jc w:val="left"/>
              <w:rPr>
                <w:rFonts w:ascii="Verdana"/>
                <w:sz w:val="16"/>
              </w:rPr>
            </w:pPr>
            <w:r>
              <w:rPr>
                <w:rFonts w:ascii="Verdana"/>
                <w:sz w:val="16"/>
              </w:rPr>
              <w:t>GLAVA</w:t>
            </w:r>
          </w:p>
          <w:p>
            <w:pPr>
              <w:pStyle w:val="TableParagraph"/>
              <w:spacing w:before="31"/>
              <w:ind w:left="611"/>
              <w:jc w:val="left"/>
              <w:rPr>
                <w:rFonts w:ascii="Verdana"/>
                <w:sz w:val="16"/>
              </w:rPr>
            </w:pPr>
            <w:r>
              <w:rPr>
                <w:rFonts w:ascii="Verdana"/>
                <w:sz w:val="16"/>
              </w:rPr>
              <w:t>00203</w:t>
            </w:r>
          </w:p>
        </w:tc>
        <w:tc>
          <w:tcPr>
            <w:tcW w:w="778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line="240" w:lineRule="exact" w:before="16"/>
              <w:ind w:left="75"/>
              <w:jc w:val="left"/>
              <w:rPr>
                <w:rFonts w:ascii="Verdana" w:hAnsi="Verdana"/>
                <w:sz w:val="20"/>
              </w:rPr>
            </w:pPr>
            <w:r>
              <w:rPr>
                <w:rFonts w:ascii="Verdana" w:hAnsi="Verdana"/>
                <w:sz w:val="20"/>
              </w:rPr>
              <w:t>PRORAČUNSKI KORISNIK: 42694-GRADSKA KNJIŽNICA I ČITAONICA I.BELOSTENAC</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6"/>
              <w:rPr>
                <w:rFonts w:ascii="Verdana"/>
                <w:sz w:val="20"/>
              </w:rPr>
            </w:pPr>
            <w:r>
              <w:rPr>
                <w:rFonts w:ascii="Verdana"/>
                <w:sz w:val="20"/>
              </w:rPr>
              <w:t>505.000,00</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9"/>
              <w:rPr>
                <w:rFonts w:ascii="Verdana"/>
                <w:sz w:val="20"/>
              </w:rPr>
            </w:pPr>
            <w:r>
              <w:rPr>
                <w:rFonts w:ascii="Verdana"/>
                <w:sz w:val="20"/>
              </w:rPr>
              <w:t>505.000,00</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5"/>
              <w:rPr>
                <w:rFonts w:ascii="Verdana"/>
                <w:sz w:val="20"/>
              </w:rPr>
            </w:pPr>
            <w:r>
              <w:rPr>
                <w:rFonts w:ascii="Verdana"/>
                <w:sz w:val="20"/>
              </w:rPr>
              <w:t>229.870,38</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9"/>
              <w:rPr>
                <w:rFonts w:ascii="Verdana"/>
                <w:sz w:val="20"/>
              </w:rPr>
            </w:pPr>
            <w:r>
              <w:rPr>
                <w:rFonts w:ascii="Verdana"/>
                <w:sz w:val="20"/>
              </w:rPr>
              <w:t>45,52%</w:t>
            </w:r>
          </w:p>
        </w:tc>
      </w:tr>
      <w:tr>
        <w:trPr>
          <w:trHeight w:val="505" w:hRule="atLeast"/>
        </w:trPr>
        <w:tc>
          <w:tcPr>
            <w:tcW w:w="1136" w:type="dxa"/>
            <w:tcBorders>
              <w:top w:val="single" w:sz="8" w:space="0" w:color="000000"/>
              <w:left w:val="nil"/>
              <w:bottom w:val="single" w:sz="8" w:space="0" w:color="000000"/>
              <w:right w:val="single" w:sz="2" w:space="0" w:color="000000"/>
            </w:tcBorders>
            <w:shd w:val="clear" w:color="auto" w:fill="C4D6DF"/>
          </w:tcPr>
          <w:p>
            <w:pPr>
              <w:pStyle w:val="TableParagraph"/>
              <w:spacing w:before="9"/>
              <w:ind w:left="21"/>
              <w:jc w:val="left"/>
              <w:rPr>
                <w:rFonts w:ascii="Verdana"/>
                <w:sz w:val="16"/>
              </w:rPr>
            </w:pPr>
            <w:r>
              <w:rPr>
                <w:rFonts w:ascii="Verdana"/>
                <w:sz w:val="16"/>
              </w:rPr>
              <w:t>GLAVA</w:t>
            </w:r>
          </w:p>
          <w:p>
            <w:pPr>
              <w:pStyle w:val="TableParagraph"/>
              <w:spacing w:before="31"/>
              <w:ind w:left="611"/>
              <w:jc w:val="left"/>
              <w:rPr>
                <w:rFonts w:ascii="Verdana"/>
                <w:sz w:val="16"/>
              </w:rPr>
            </w:pPr>
            <w:r>
              <w:rPr>
                <w:rFonts w:ascii="Verdana"/>
                <w:sz w:val="16"/>
              </w:rPr>
              <w:t>00204</w:t>
            </w:r>
          </w:p>
        </w:tc>
        <w:tc>
          <w:tcPr>
            <w:tcW w:w="778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5"/>
              <w:jc w:val="left"/>
              <w:rPr>
                <w:rFonts w:ascii="Verdana" w:hAnsi="Verdana"/>
                <w:sz w:val="20"/>
              </w:rPr>
            </w:pPr>
            <w:r>
              <w:rPr>
                <w:rFonts w:ascii="Verdana" w:hAnsi="Verdana"/>
                <w:sz w:val="20"/>
              </w:rPr>
              <w:t>PRORAČUNSKI KORISNIK: 42686- ZAVIČAJNI MUZEJ OZALJ</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6"/>
              <w:rPr>
                <w:rFonts w:ascii="Verdana"/>
                <w:sz w:val="20"/>
              </w:rPr>
            </w:pPr>
            <w:r>
              <w:rPr>
                <w:rFonts w:ascii="Verdana"/>
                <w:sz w:val="20"/>
              </w:rPr>
              <w:t>855.000,00</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9"/>
              <w:rPr>
                <w:rFonts w:ascii="Verdana"/>
                <w:sz w:val="20"/>
              </w:rPr>
            </w:pPr>
            <w:r>
              <w:rPr>
                <w:rFonts w:ascii="Verdana"/>
                <w:sz w:val="20"/>
              </w:rPr>
              <w:t>855.000,00</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5"/>
              <w:rPr>
                <w:rFonts w:ascii="Verdana"/>
                <w:sz w:val="20"/>
              </w:rPr>
            </w:pPr>
            <w:r>
              <w:rPr>
                <w:rFonts w:ascii="Verdana"/>
                <w:sz w:val="20"/>
              </w:rPr>
              <w:t>204.577,12</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9"/>
              <w:rPr>
                <w:rFonts w:ascii="Verdana"/>
                <w:sz w:val="20"/>
              </w:rPr>
            </w:pPr>
            <w:r>
              <w:rPr>
                <w:rFonts w:ascii="Verdana"/>
                <w:sz w:val="20"/>
              </w:rPr>
              <w:t>23,93%</w:t>
            </w:r>
          </w:p>
        </w:tc>
      </w:tr>
      <w:tr>
        <w:trPr>
          <w:trHeight w:val="505" w:hRule="atLeast"/>
        </w:trPr>
        <w:tc>
          <w:tcPr>
            <w:tcW w:w="1136" w:type="dxa"/>
            <w:tcBorders>
              <w:top w:val="single" w:sz="8" w:space="0" w:color="000000"/>
              <w:left w:val="nil"/>
              <w:bottom w:val="single" w:sz="8" w:space="0" w:color="000000"/>
              <w:right w:val="single" w:sz="2" w:space="0" w:color="000000"/>
            </w:tcBorders>
            <w:shd w:val="clear" w:color="auto" w:fill="C4D6DF"/>
          </w:tcPr>
          <w:p>
            <w:pPr>
              <w:pStyle w:val="TableParagraph"/>
              <w:spacing w:before="9"/>
              <w:ind w:left="21"/>
              <w:jc w:val="left"/>
              <w:rPr>
                <w:rFonts w:ascii="Verdana"/>
                <w:sz w:val="16"/>
              </w:rPr>
            </w:pPr>
            <w:r>
              <w:rPr>
                <w:rFonts w:ascii="Verdana"/>
                <w:sz w:val="16"/>
              </w:rPr>
              <w:t>GLAVA</w:t>
            </w:r>
          </w:p>
          <w:p>
            <w:pPr>
              <w:pStyle w:val="TableParagraph"/>
              <w:spacing w:before="31"/>
              <w:ind w:left="611"/>
              <w:jc w:val="left"/>
              <w:rPr>
                <w:rFonts w:ascii="Verdana"/>
                <w:sz w:val="16"/>
              </w:rPr>
            </w:pPr>
            <w:r>
              <w:rPr>
                <w:rFonts w:ascii="Verdana"/>
                <w:sz w:val="16"/>
              </w:rPr>
              <w:t>00205</w:t>
            </w:r>
          </w:p>
        </w:tc>
        <w:tc>
          <w:tcPr>
            <w:tcW w:w="778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5"/>
              <w:jc w:val="left"/>
              <w:rPr>
                <w:rFonts w:ascii="Verdana" w:hAnsi="Verdana"/>
                <w:sz w:val="20"/>
              </w:rPr>
            </w:pPr>
            <w:r>
              <w:rPr>
                <w:rFonts w:ascii="Verdana" w:hAnsi="Verdana"/>
                <w:sz w:val="20"/>
              </w:rPr>
              <w:t>PRORAČUNSKI KORISNIK: 27484-DJEČJI VRTIĆ I JASLICE ZVONČIĆ</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8"/>
              <w:rPr>
                <w:rFonts w:ascii="Verdana"/>
                <w:sz w:val="20"/>
              </w:rPr>
            </w:pPr>
            <w:r>
              <w:rPr>
                <w:rFonts w:ascii="Verdana"/>
                <w:sz w:val="20"/>
              </w:rPr>
              <w:t>2.840.000,00</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1"/>
              <w:rPr>
                <w:rFonts w:ascii="Verdana"/>
                <w:sz w:val="20"/>
              </w:rPr>
            </w:pPr>
            <w:r>
              <w:rPr>
                <w:rFonts w:ascii="Verdana"/>
                <w:sz w:val="20"/>
              </w:rPr>
              <w:t>2.840.000,00</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7"/>
              <w:rPr>
                <w:rFonts w:ascii="Verdana"/>
                <w:sz w:val="20"/>
              </w:rPr>
            </w:pPr>
            <w:r>
              <w:rPr>
                <w:rFonts w:ascii="Verdana"/>
                <w:sz w:val="20"/>
              </w:rPr>
              <w:t>1.408.689,74</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9"/>
              <w:rPr>
                <w:rFonts w:ascii="Verdana"/>
                <w:sz w:val="20"/>
              </w:rPr>
            </w:pPr>
            <w:r>
              <w:rPr>
                <w:rFonts w:ascii="Verdana"/>
                <w:sz w:val="20"/>
              </w:rPr>
              <w:t>49,60%</w:t>
            </w:r>
          </w:p>
        </w:tc>
      </w:tr>
      <w:tr>
        <w:trPr>
          <w:trHeight w:val="505" w:hRule="atLeast"/>
        </w:trPr>
        <w:tc>
          <w:tcPr>
            <w:tcW w:w="1136" w:type="dxa"/>
            <w:tcBorders>
              <w:top w:val="single" w:sz="8" w:space="0" w:color="000000"/>
              <w:left w:val="nil"/>
              <w:bottom w:val="single" w:sz="8" w:space="0" w:color="000000"/>
              <w:right w:val="single" w:sz="2" w:space="0" w:color="000000"/>
            </w:tcBorders>
            <w:shd w:val="clear" w:color="auto" w:fill="656599"/>
          </w:tcPr>
          <w:p>
            <w:pPr>
              <w:pStyle w:val="TableParagraph"/>
              <w:spacing w:before="9"/>
              <w:ind w:left="21"/>
              <w:jc w:val="left"/>
              <w:rPr>
                <w:rFonts w:ascii="Verdana"/>
                <w:sz w:val="16"/>
              </w:rPr>
            </w:pPr>
            <w:r>
              <w:rPr>
                <w:rFonts w:ascii="Verdana"/>
                <w:sz w:val="16"/>
              </w:rPr>
              <w:t>RAZDJEL</w:t>
            </w:r>
          </w:p>
          <w:p>
            <w:pPr>
              <w:pStyle w:val="TableParagraph"/>
              <w:spacing w:line="193" w:lineRule="exact" w:before="89"/>
              <w:ind w:right="10"/>
              <w:rPr>
                <w:rFonts w:ascii="Verdana"/>
                <w:sz w:val="16"/>
              </w:rPr>
            </w:pPr>
            <w:r>
              <w:rPr>
                <w:rFonts w:ascii="Verdana"/>
                <w:sz w:val="16"/>
              </w:rPr>
              <w:t>003</w:t>
            </w:r>
          </w:p>
        </w:tc>
        <w:tc>
          <w:tcPr>
            <w:tcW w:w="7780"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75"/>
              <w:jc w:val="left"/>
              <w:rPr>
                <w:rFonts w:ascii="Verdana"/>
                <w:sz w:val="20"/>
              </w:rPr>
            </w:pPr>
            <w:r>
              <w:rPr>
                <w:rFonts w:ascii="Verdana"/>
                <w:w w:val="105"/>
                <w:sz w:val="20"/>
              </w:rPr>
              <w:t>UPRAVNI ODJEL ZA FINANCIJE I GOSPODARSTVO</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8"/>
              <w:rPr>
                <w:rFonts w:ascii="Verdana"/>
                <w:sz w:val="20"/>
              </w:rPr>
            </w:pPr>
            <w:r>
              <w:rPr>
                <w:rFonts w:ascii="Verdana"/>
                <w:sz w:val="20"/>
              </w:rPr>
              <w:t>4.359.707,91</w:t>
            </w:r>
          </w:p>
        </w:tc>
        <w:tc>
          <w:tcPr>
            <w:tcW w:w="1832"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81"/>
              <w:rPr>
                <w:rFonts w:ascii="Verdana"/>
                <w:sz w:val="20"/>
              </w:rPr>
            </w:pPr>
            <w:r>
              <w:rPr>
                <w:rFonts w:ascii="Verdana"/>
                <w:sz w:val="20"/>
              </w:rPr>
              <w:t>4.304.707,91</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87"/>
              <w:rPr>
                <w:rFonts w:ascii="Verdana"/>
                <w:sz w:val="20"/>
              </w:rPr>
            </w:pPr>
            <w:r>
              <w:rPr>
                <w:rFonts w:ascii="Verdana"/>
                <w:sz w:val="20"/>
              </w:rPr>
              <w:t>1.813.153,11</w:t>
            </w:r>
          </w:p>
        </w:tc>
        <w:tc>
          <w:tcPr>
            <w:tcW w:w="1105"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69"/>
              <w:rPr>
                <w:rFonts w:ascii="Verdana"/>
                <w:sz w:val="20"/>
              </w:rPr>
            </w:pPr>
            <w:r>
              <w:rPr>
                <w:rFonts w:ascii="Verdana"/>
                <w:sz w:val="20"/>
              </w:rPr>
              <w:t>42,12%</w:t>
            </w:r>
          </w:p>
        </w:tc>
      </w:tr>
      <w:tr>
        <w:trPr>
          <w:trHeight w:val="503" w:hRule="atLeast"/>
        </w:trPr>
        <w:tc>
          <w:tcPr>
            <w:tcW w:w="1136" w:type="dxa"/>
            <w:tcBorders>
              <w:top w:val="single" w:sz="8" w:space="0" w:color="000000"/>
              <w:left w:val="nil"/>
              <w:bottom w:val="single" w:sz="8" w:space="0" w:color="000000"/>
              <w:right w:val="single" w:sz="2" w:space="0" w:color="000000"/>
            </w:tcBorders>
            <w:shd w:val="clear" w:color="auto" w:fill="C4D6DF"/>
          </w:tcPr>
          <w:p>
            <w:pPr>
              <w:pStyle w:val="TableParagraph"/>
              <w:spacing w:before="9"/>
              <w:ind w:left="21"/>
              <w:jc w:val="left"/>
              <w:rPr>
                <w:rFonts w:ascii="Verdana"/>
                <w:sz w:val="16"/>
              </w:rPr>
            </w:pPr>
            <w:r>
              <w:rPr>
                <w:rFonts w:ascii="Verdana"/>
                <w:sz w:val="16"/>
              </w:rPr>
              <w:t>GLAVA</w:t>
            </w:r>
          </w:p>
          <w:p>
            <w:pPr>
              <w:pStyle w:val="TableParagraph"/>
              <w:spacing w:before="31"/>
              <w:ind w:left="611"/>
              <w:jc w:val="left"/>
              <w:rPr>
                <w:rFonts w:ascii="Verdana"/>
                <w:sz w:val="16"/>
              </w:rPr>
            </w:pPr>
            <w:r>
              <w:rPr>
                <w:rFonts w:ascii="Verdana"/>
                <w:sz w:val="16"/>
              </w:rPr>
              <w:t>00301</w:t>
            </w:r>
          </w:p>
        </w:tc>
        <w:tc>
          <w:tcPr>
            <w:tcW w:w="778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5"/>
              <w:jc w:val="left"/>
              <w:rPr>
                <w:rFonts w:ascii="Verdana"/>
                <w:sz w:val="20"/>
              </w:rPr>
            </w:pPr>
            <w:r>
              <w:rPr>
                <w:rFonts w:ascii="Verdana"/>
                <w:sz w:val="20"/>
              </w:rPr>
              <w:t>UO ZA FINANCIJE I</w:t>
            </w:r>
            <w:r>
              <w:rPr>
                <w:rFonts w:ascii="Verdana"/>
                <w:spacing w:val="-53"/>
                <w:sz w:val="20"/>
              </w:rPr>
              <w:t> </w:t>
            </w:r>
            <w:r>
              <w:rPr>
                <w:rFonts w:ascii="Verdana"/>
                <w:sz w:val="20"/>
              </w:rPr>
              <w:t>GOSPODARSTVO</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8"/>
              <w:rPr>
                <w:rFonts w:ascii="Verdana"/>
                <w:sz w:val="20"/>
              </w:rPr>
            </w:pPr>
            <w:r>
              <w:rPr>
                <w:rFonts w:ascii="Verdana"/>
                <w:sz w:val="20"/>
              </w:rPr>
              <w:t>4.359.707,91</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1"/>
              <w:rPr>
                <w:rFonts w:ascii="Verdana"/>
                <w:sz w:val="20"/>
              </w:rPr>
            </w:pPr>
            <w:r>
              <w:rPr>
                <w:rFonts w:ascii="Verdana"/>
                <w:sz w:val="20"/>
              </w:rPr>
              <w:t>4.304.707,91</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7"/>
              <w:rPr>
                <w:rFonts w:ascii="Verdana"/>
                <w:sz w:val="20"/>
              </w:rPr>
            </w:pPr>
            <w:r>
              <w:rPr>
                <w:rFonts w:ascii="Verdana"/>
                <w:sz w:val="20"/>
              </w:rPr>
              <w:t>1.813.153,11</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9"/>
              <w:rPr>
                <w:rFonts w:ascii="Verdana"/>
                <w:sz w:val="20"/>
              </w:rPr>
            </w:pPr>
            <w:r>
              <w:rPr>
                <w:rFonts w:ascii="Verdana"/>
                <w:sz w:val="20"/>
              </w:rPr>
              <w:t>42,12%</w:t>
            </w:r>
          </w:p>
        </w:tc>
      </w:tr>
      <w:tr>
        <w:trPr>
          <w:trHeight w:val="505" w:hRule="atLeast"/>
        </w:trPr>
        <w:tc>
          <w:tcPr>
            <w:tcW w:w="1136" w:type="dxa"/>
            <w:tcBorders>
              <w:top w:val="single" w:sz="8" w:space="0" w:color="000000"/>
              <w:left w:val="nil"/>
              <w:bottom w:val="single" w:sz="8" w:space="0" w:color="000000"/>
              <w:right w:val="single" w:sz="2" w:space="0" w:color="000000"/>
            </w:tcBorders>
            <w:shd w:val="clear" w:color="auto" w:fill="656599"/>
          </w:tcPr>
          <w:p>
            <w:pPr>
              <w:pStyle w:val="TableParagraph"/>
              <w:spacing w:before="9"/>
              <w:ind w:left="21"/>
              <w:jc w:val="left"/>
              <w:rPr>
                <w:rFonts w:ascii="Verdana"/>
                <w:sz w:val="16"/>
              </w:rPr>
            </w:pPr>
            <w:r>
              <w:rPr>
                <w:rFonts w:ascii="Verdana"/>
                <w:sz w:val="16"/>
              </w:rPr>
              <w:t>RAZDJEL</w:t>
            </w:r>
          </w:p>
          <w:p>
            <w:pPr>
              <w:pStyle w:val="TableParagraph"/>
              <w:spacing w:line="193" w:lineRule="exact" w:before="89"/>
              <w:ind w:right="10"/>
              <w:rPr>
                <w:rFonts w:ascii="Verdana"/>
                <w:sz w:val="16"/>
              </w:rPr>
            </w:pPr>
            <w:r>
              <w:rPr>
                <w:rFonts w:ascii="Verdana"/>
                <w:sz w:val="16"/>
              </w:rPr>
              <w:t>004</w:t>
            </w:r>
          </w:p>
        </w:tc>
        <w:tc>
          <w:tcPr>
            <w:tcW w:w="7780"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75"/>
              <w:jc w:val="left"/>
              <w:rPr>
                <w:rFonts w:ascii="Verdana"/>
                <w:sz w:val="20"/>
              </w:rPr>
            </w:pPr>
            <w:r>
              <w:rPr>
                <w:rFonts w:ascii="Verdana"/>
                <w:sz w:val="20"/>
              </w:rPr>
              <w:t>UPRAVNI ODJEL ZA URBANIZAM I KOMUNALNE POSLOVE</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8"/>
              <w:rPr>
                <w:rFonts w:ascii="Verdana"/>
                <w:sz w:val="20"/>
              </w:rPr>
            </w:pPr>
            <w:r>
              <w:rPr>
                <w:rFonts w:ascii="Verdana"/>
                <w:sz w:val="20"/>
              </w:rPr>
              <w:t>10.354.000,00</w:t>
            </w:r>
          </w:p>
        </w:tc>
        <w:tc>
          <w:tcPr>
            <w:tcW w:w="1832"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84"/>
              <w:rPr>
                <w:rFonts w:ascii="Verdana"/>
                <w:sz w:val="20"/>
              </w:rPr>
            </w:pPr>
            <w:r>
              <w:rPr>
                <w:rFonts w:ascii="Verdana"/>
                <w:sz w:val="20"/>
              </w:rPr>
              <w:t>10.354.000,00</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87"/>
              <w:rPr>
                <w:rFonts w:ascii="Verdana"/>
                <w:sz w:val="20"/>
              </w:rPr>
            </w:pPr>
            <w:r>
              <w:rPr>
                <w:rFonts w:ascii="Verdana"/>
                <w:sz w:val="20"/>
              </w:rPr>
              <w:t>1.742.356,03</w:t>
            </w:r>
          </w:p>
        </w:tc>
        <w:tc>
          <w:tcPr>
            <w:tcW w:w="1105"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69"/>
              <w:rPr>
                <w:rFonts w:ascii="Verdana"/>
                <w:sz w:val="20"/>
              </w:rPr>
            </w:pPr>
            <w:r>
              <w:rPr>
                <w:rFonts w:ascii="Verdana"/>
                <w:sz w:val="20"/>
              </w:rPr>
              <w:t>16,83%</w:t>
            </w:r>
          </w:p>
        </w:tc>
      </w:tr>
      <w:tr>
        <w:trPr>
          <w:trHeight w:val="505" w:hRule="atLeast"/>
        </w:trPr>
        <w:tc>
          <w:tcPr>
            <w:tcW w:w="1136" w:type="dxa"/>
            <w:tcBorders>
              <w:top w:val="single" w:sz="8" w:space="0" w:color="000000"/>
              <w:left w:val="nil"/>
              <w:bottom w:val="single" w:sz="8" w:space="0" w:color="000000"/>
              <w:right w:val="single" w:sz="2" w:space="0" w:color="000000"/>
            </w:tcBorders>
            <w:shd w:val="clear" w:color="auto" w:fill="C4D6DF"/>
          </w:tcPr>
          <w:p>
            <w:pPr>
              <w:pStyle w:val="TableParagraph"/>
              <w:spacing w:before="9"/>
              <w:ind w:left="21"/>
              <w:jc w:val="left"/>
              <w:rPr>
                <w:rFonts w:ascii="Verdana"/>
                <w:sz w:val="16"/>
              </w:rPr>
            </w:pPr>
            <w:r>
              <w:rPr>
                <w:rFonts w:ascii="Verdana"/>
                <w:sz w:val="16"/>
              </w:rPr>
              <w:t>GLAVA</w:t>
            </w:r>
          </w:p>
          <w:p>
            <w:pPr>
              <w:pStyle w:val="TableParagraph"/>
              <w:spacing w:before="31"/>
              <w:ind w:left="611"/>
              <w:jc w:val="left"/>
              <w:rPr>
                <w:rFonts w:ascii="Verdana"/>
                <w:sz w:val="16"/>
              </w:rPr>
            </w:pPr>
            <w:r>
              <w:rPr>
                <w:rFonts w:ascii="Verdana"/>
                <w:sz w:val="16"/>
              </w:rPr>
              <w:t>00401</w:t>
            </w:r>
          </w:p>
        </w:tc>
        <w:tc>
          <w:tcPr>
            <w:tcW w:w="778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5"/>
              <w:jc w:val="left"/>
              <w:rPr>
                <w:rFonts w:ascii="Verdana"/>
                <w:sz w:val="20"/>
              </w:rPr>
            </w:pPr>
            <w:r>
              <w:rPr>
                <w:rFonts w:ascii="Verdana"/>
                <w:sz w:val="20"/>
              </w:rPr>
              <w:t>UO ZA URBANIZAM I KOMUNALNE DJELATNOSTI</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8"/>
              <w:rPr>
                <w:rFonts w:ascii="Verdana"/>
                <w:sz w:val="20"/>
              </w:rPr>
            </w:pPr>
            <w:r>
              <w:rPr>
                <w:rFonts w:ascii="Verdana"/>
                <w:sz w:val="20"/>
              </w:rPr>
              <w:t>10.354.000,00</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4"/>
              <w:rPr>
                <w:rFonts w:ascii="Verdana"/>
                <w:sz w:val="20"/>
              </w:rPr>
            </w:pPr>
            <w:r>
              <w:rPr>
                <w:rFonts w:ascii="Verdana"/>
                <w:sz w:val="20"/>
              </w:rPr>
              <w:t>10.354.000,00</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7"/>
              <w:rPr>
                <w:rFonts w:ascii="Verdana"/>
                <w:sz w:val="20"/>
              </w:rPr>
            </w:pPr>
            <w:r>
              <w:rPr>
                <w:rFonts w:ascii="Verdana"/>
                <w:sz w:val="20"/>
              </w:rPr>
              <w:t>1.742.356,03</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9"/>
              <w:rPr>
                <w:rFonts w:ascii="Verdana"/>
                <w:sz w:val="20"/>
              </w:rPr>
            </w:pPr>
            <w:r>
              <w:rPr>
                <w:rFonts w:ascii="Verdana"/>
                <w:sz w:val="20"/>
              </w:rPr>
              <w:t>16,83%</w:t>
            </w:r>
          </w:p>
        </w:tc>
      </w:tr>
      <w:tr>
        <w:trPr>
          <w:trHeight w:val="433" w:hRule="atLeast"/>
        </w:trPr>
        <w:tc>
          <w:tcPr>
            <w:tcW w:w="891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74"/>
              <w:ind w:left="1221"/>
              <w:jc w:val="left"/>
              <w:rPr>
                <w:rFonts w:ascii="Arial"/>
                <w:sz w:val="24"/>
              </w:rPr>
            </w:pPr>
            <w:r>
              <w:rPr>
                <w:rFonts w:ascii="Arial"/>
                <w:sz w:val="24"/>
              </w:rPr>
              <w:t>UKUPNO</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74"/>
              <w:ind w:right="65"/>
              <w:rPr>
                <w:rFonts w:ascii="Arial"/>
                <w:sz w:val="24"/>
              </w:rPr>
            </w:pPr>
            <w:r>
              <w:rPr>
                <w:rFonts w:ascii="Arial"/>
                <w:sz w:val="24"/>
              </w:rPr>
              <w:t>20.418.660,87</w:t>
            </w:r>
          </w:p>
        </w:tc>
        <w:tc>
          <w:tcPr>
            <w:tcW w:w="183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74"/>
              <w:ind w:right="69"/>
              <w:rPr>
                <w:rFonts w:ascii="Arial"/>
                <w:sz w:val="24"/>
              </w:rPr>
            </w:pPr>
            <w:r>
              <w:rPr>
                <w:rFonts w:ascii="Arial"/>
                <w:sz w:val="24"/>
              </w:rPr>
              <w:t>20.418.660,87</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74"/>
              <w:ind w:right="74"/>
              <w:rPr>
                <w:rFonts w:ascii="Arial"/>
                <w:sz w:val="24"/>
              </w:rPr>
            </w:pPr>
            <w:r>
              <w:rPr>
                <w:rFonts w:ascii="Arial"/>
                <w:sz w:val="24"/>
              </w:rPr>
              <w:t>6.305.627,45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79"/>
              <w:ind w:right="55"/>
              <w:rPr>
                <w:rFonts w:ascii="Arial"/>
                <w:sz w:val="24"/>
              </w:rPr>
            </w:pPr>
            <w:r>
              <w:rPr>
                <w:rFonts w:ascii="Arial"/>
                <w:sz w:val="24"/>
              </w:rPr>
              <w:t>30,88%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r>
        <w:rPr/>
        <w:pict>
          <v:rect style="position:absolute;margin-left:42.590637pt;margin-top:15.844001pt;width:775.679983pt;height:.6pt;mso-position-horizontal-relative:page;mso-position-vertical-relative:paragraph;z-index:-15727104;mso-wrap-distance-left:0;mso-wrap-distance-right:0" filled="true" fillcolor="#000000" stroked="false">
            <v:fill type="solid"/>
            <w10:wrap type="topAndBottom"/>
          </v:rect>
        </w:pict>
      </w:r>
    </w:p>
    <w:p>
      <w:pPr>
        <w:spacing w:after="0"/>
        <w:sectPr>
          <w:footerReference w:type="default" r:id="rId8"/>
          <w:pgSz w:w="16840" w:h="11900" w:orient="landscape"/>
          <w:pgMar w:footer="744" w:header="0" w:top="1100" w:bottom="94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1"/>
        <w:gridCol w:w="7779"/>
        <w:gridCol w:w="1832"/>
        <w:gridCol w:w="1831"/>
        <w:gridCol w:w="1832"/>
        <w:gridCol w:w="1104"/>
      </w:tblGrid>
      <w:tr>
        <w:trPr>
          <w:trHeight w:val="828" w:hRule="atLeast"/>
        </w:trPr>
        <w:tc>
          <w:tcPr>
            <w:tcW w:w="15513" w:type="dxa"/>
            <w:gridSpan w:val="7"/>
            <w:tcBorders>
              <w:left w:val="nil"/>
              <w:bottom w:val="single" w:sz="8" w:space="0" w:color="000000"/>
              <w:right w:val="nil"/>
            </w:tcBorders>
            <w:shd w:val="clear" w:color="auto" w:fill="C0C0C0"/>
          </w:tcPr>
          <w:p>
            <w:pPr>
              <w:pStyle w:val="TableParagraph"/>
              <w:spacing w:before="56"/>
              <w:ind w:left="1443" w:right="1459"/>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69"/>
              <w:jc w:val="center"/>
              <w:rPr>
                <w:rFonts w:ascii="Times New Roman"/>
                <w:sz w:val="22"/>
              </w:rPr>
            </w:pPr>
            <w:r>
              <w:rPr>
                <w:rFonts w:ascii="Times New Roman"/>
                <w:sz w:val="22"/>
              </w:rPr>
              <w:t>POSEBNI DIO - EKONOMSKA KLASIFIKACIJA</w:t>
            </w:r>
          </w:p>
        </w:tc>
      </w:tr>
      <w:tr>
        <w:trPr>
          <w:trHeight w:val="846" w:hRule="atLeast"/>
        </w:trPr>
        <w:tc>
          <w:tcPr>
            <w:tcW w:w="1135"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6" w:hanging="5"/>
              <w:jc w:val="center"/>
              <w:rPr>
                <w:sz w:val="20"/>
              </w:rPr>
            </w:pPr>
            <w:r>
              <w:rPr>
                <w:sz w:val="20"/>
              </w:rPr>
              <w:t>Račun/ </w:t>
            </w:r>
            <w:r>
              <w:rPr>
                <w:w w:val="95"/>
                <w:sz w:val="20"/>
              </w:rPr>
              <w:t>Pozicija</w:t>
            </w:r>
          </w:p>
          <w:p>
            <w:pPr>
              <w:pStyle w:val="TableParagraph"/>
              <w:spacing w:before="84"/>
              <w:ind w:left="173"/>
              <w:jc w:val="center"/>
              <w:rPr>
                <w:sz w:val="18"/>
              </w:rPr>
            </w:pPr>
            <w:r>
              <w:rPr>
                <w:w w:val="100"/>
                <w:sz w:val="18"/>
              </w:rPr>
              <w:t>1</w:t>
            </w:r>
          </w:p>
        </w:tc>
        <w:tc>
          <w:tcPr>
            <w:tcW w:w="7779"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72" w:right="3674"/>
              <w:jc w:val="center"/>
              <w:rPr>
                <w:sz w:val="20"/>
              </w:rPr>
            </w:pPr>
            <w:r>
              <w:rPr>
                <w:sz w:val="20"/>
              </w:rPr>
              <w:t>Opis</w:t>
            </w:r>
          </w:p>
          <w:p>
            <w:pPr>
              <w:pStyle w:val="TableParagraph"/>
              <w:spacing w:before="4"/>
              <w:jc w:val="left"/>
              <w:rPr>
                <w:rFonts w:ascii="Times New Roman"/>
                <w:sz w:val="28"/>
              </w:rPr>
            </w:pPr>
          </w:p>
          <w:p>
            <w:pPr>
              <w:pStyle w:val="TableParagraph"/>
              <w:spacing w:before="0"/>
              <w:ind w:left="7"/>
              <w:jc w:val="center"/>
              <w:rPr>
                <w:sz w:val="18"/>
              </w:rPr>
            </w:pPr>
            <w:r>
              <w:rPr>
                <w:w w:val="100"/>
                <w:sz w:val="18"/>
              </w:rPr>
              <w:t>2</w:t>
            </w:r>
          </w:p>
        </w:tc>
        <w:tc>
          <w:tcPr>
            <w:tcW w:w="183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0" w:right="135"/>
              <w:jc w:val="center"/>
              <w:rPr>
                <w:sz w:val="20"/>
              </w:rPr>
            </w:pPr>
            <w:r>
              <w:rPr>
                <w:sz w:val="20"/>
              </w:rPr>
              <w:t>Izvorni plan za 2014. godinu</w:t>
            </w:r>
          </w:p>
          <w:p>
            <w:pPr>
              <w:pStyle w:val="TableParagraph"/>
              <w:spacing w:before="89"/>
              <w:ind w:left="39"/>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8" w:right="131"/>
              <w:jc w:val="center"/>
              <w:rPr>
                <w:sz w:val="20"/>
              </w:rPr>
            </w:pPr>
            <w:r>
              <w:rPr>
                <w:sz w:val="20"/>
              </w:rPr>
              <w:t>Tekući plan za 2014. godinu</w:t>
            </w:r>
          </w:p>
          <w:p>
            <w:pPr>
              <w:pStyle w:val="TableParagraph"/>
              <w:spacing w:before="89"/>
              <w:ind w:left="29"/>
              <w:jc w:val="center"/>
              <w:rPr>
                <w:sz w:val="18"/>
              </w:rPr>
            </w:pPr>
            <w:r>
              <w:rPr>
                <w:w w:val="100"/>
                <w:sz w:val="18"/>
              </w:rPr>
              <w:t>4</w:t>
            </w:r>
          </w:p>
        </w:tc>
        <w:tc>
          <w:tcPr>
            <w:tcW w:w="183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55" w:right="134"/>
              <w:jc w:val="center"/>
              <w:rPr>
                <w:sz w:val="20"/>
              </w:rPr>
            </w:pPr>
            <w:r>
              <w:rPr>
                <w:sz w:val="20"/>
              </w:rPr>
              <w:t>Izvršenje 01.01.-</w:t>
            </w:r>
          </w:p>
          <w:p>
            <w:pPr>
              <w:pStyle w:val="TableParagraph"/>
              <w:spacing w:line="241" w:lineRule="exact" w:before="0"/>
              <w:ind w:left="155" w:right="131"/>
              <w:jc w:val="center"/>
              <w:rPr>
                <w:sz w:val="20"/>
              </w:rPr>
            </w:pPr>
            <w:r>
              <w:rPr>
                <w:sz w:val="20"/>
              </w:rPr>
              <w:t>30.06.2014.</w:t>
            </w:r>
          </w:p>
          <w:p>
            <w:pPr>
              <w:pStyle w:val="TableParagraph"/>
              <w:spacing w:before="90"/>
              <w:ind w:left="23"/>
              <w:jc w:val="center"/>
              <w:rPr>
                <w:sz w:val="18"/>
              </w:rPr>
            </w:pPr>
            <w:r>
              <w:rPr>
                <w:w w:val="100"/>
                <w:sz w:val="18"/>
              </w:rPr>
              <w:t>5</w:t>
            </w:r>
          </w:p>
        </w:tc>
        <w:tc>
          <w:tcPr>
            <w:tcW w:w="1104"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7" w:right="233"/>
              <w:jc w:val="center"/>
              <w:rPr>
                <w:sz w:val="20"/>
              </w:rPr>
            </w:pPr>
            <w:r>
              <w:rPr>
                <w:w w:val="95"/>
                <w:sz w:val="20"/>
              </w:rPr>
              <w:t>Indeks </w:t>
            </w:r>
            <w:r>
              <w:rPr>
                <w:sz w:val="20"/>
              </w:rPr>
              <w:t>5/4</w:t>
            </w:r>
          </w:p>
          <w:p>
            <w:pPr>
              <w:pStyle w:val="TableParagraph"/>
              <w:spacing w:before="89"/>
              <w:ind w:left="37"/>
              <w:jc w:val="center"/>
              <w:rPr>
                <w:sz w:val="18"/>
              </w:rPr>
            </w:pPr>
            <w:r>
              <w:rPr>
                <w:w w:val="100"/>
                <w:sz w:val="18"/>
              </w:rPr>
              <w:t>6</w:t>
            </w:r>
          </w:p>
        </w:tc>
      </w:tr>
      <w:tr>
        <w:trPr>
          <w:trHeight w:val="505" w:hRule="atLeast"/>
        </w:trPr>
        <w:tc>
          <w:tcPr>
            <w:tcW w:w="1135" w:type="dxa"/>
            <w:gridSpan w:val="2"/>
            <w:tcBorders>
              <w:top w:val="single" w:sz="8" w:space="0" w:color="000000"/>
              <w:left w:val="nil"/>
              <w:bottom w:val="single" w:sz="8" w:space="0" w:color="000000"/>
              <w:right w:val="single" w:sz="2" w:space="0" w:color="000000"/>
            </w:tcBorders>
            <w:shd w:val="clear" w:color="auto" w:fill="656599"/>
          </w:tcPr>
          <w:p>
            <w:pPr>
              <w:pStyle w:val="TableParagraph"/>
              <w:spacing w:before="9"/>
              <w:ind w:left="27"/>
              <w:jc w:val="left"/>
              <w:rPr>
                <w:rFonts w:ascii="Verdana"/>
                <w:sz w:val="16"/>
              </w:rPr>
            </w:pPr>
            <w:r>
              <w:rPr>
                <w:rFonts w:ascii="Verdana"/>
                <w:sz w:val="16"/>
              </w:rPr>
              <w:t>RAZDJEL</w:t>
            </w:r>
          </w:p>
          <w:p>
            <w:pPr>
              <w:pStyle w:val="TableParagraph"/>
              <w:spacing w:line="193" w:lineRule="exact" w:before="89"/>
              <w:ind w:right="3"/>
              <w:rPr>
                <w:rFonts w:ascii="Verdana"/>
                <w:sz w:val="16"/>
              </w:rPr>
            </w:pPr>
            <w:r>
              <w:rPr>
                <w:rFonts w:ascii="Verdana"/>
                <w:sz w:val="16"/>
              </w:rPr>
              <w:t>001</w:t>
            </w:r>
          </w:p>
        </w:tc>
        <w:tc>
          <w:tcPr>
            <w:tcW w:w="7779"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82"/>
              <w:jc w:val="left"/>
              <w:rPr>
                <w:rFonts w:ascii="Verdana" w:hAnsi="Verdana"/>
                <w:sz w:val="20"/>
              </w:rPr>
            </w:pPr>
            <w:r>
              <w:rPr>
                <w:rFonts w:ascii="Verdana" w:hAnsi="Verdana"/>
                <w:sz w:val="20"/>
              </w:rPr>
              <w:t>GRADSKO VIJEĆE, URED GRADONAČELNIKA</w:t>
            </w:r>
          </w:p>
        </w:tc>
        <w:tc>
          <w:tcPr>
            <w:tcW w:w="1832"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67"/>
              <w:rPr>
                <w:rFonts w:ascii="Verdana"/>
                <w:sz w:val="20"/>
              </w:rPr>
            </w:pPr>
            <w:r>
              <w:rPr>
                <w:rFonts w:ascii="Verdana"/>
                <w:sz w:val="20"/>
              </w:rPr>
              <w:t>241.000,00</w:t>
            </w:r>
          </w:p>
        </w:tc>
        <w:tc>
          <w:tcPr>
            <w:tcW w:w="1831"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69"/>
              <w:rPr>
                <w:rFonts w:ascii="Verdana"/>
                <w:sz w:val="20"/>
              </w:rPr>
            </w:pPr>
            <w:r>
              <w:rPr>
                <w:rFonts w:ascii="Verdana"/>
                <w:sz w:val="20"/>
              </w:rPr>
              <w:t>296.000,00</w:t>
            </w:r>
          </w:p>
        </w:tc>
        <w:tc>
          <w:tcPr>
            <w:tcW w:w="1832"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4"/>
              <w:rPr>
                <w:rFonts w:ascii="Verdana"/>
                <w:sz w:val="20"/>
              </w:rPr>
            </w:pPr>
            <w:r>
              <w:rPr>
                <w:rFonts w:ascii="Verdana"/>
                <w:sz w:val="20"/>
              </w:rPr>
              <w:t>221.679,25</w:t>
            </w:r>
          </w:p>
        </w:tc>
        <w:tc>
          <w:tcPr>
            <w:tcW w:w="1104"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57"/>
              <w:rPr>
                <w:rFonts w:ascii="Verdana"/>
                <w:sz w:val="20"/>
              </w:rPr>
            </w:pPr>
            <w:r>
              <w:rPr>
                <w:rFonts w:ascii="Verdana"/>
                <w:sz w:val="20"/>
              </w:rPr>
              <w:t>74,89%</w:t>
            </w:r>
          </w:p>
        </w:tc>
      </w:tr>
      <w:tr>
        <w:trPr>
          <w:trHeight w:val="503" w:hRule="atLeast"/>
        </w:trPr>
        <w:tc>
          <w:tcPr>
            <w:tcW w:w="1135" w:type="dxa"/>
            <w:gridSpan w:val="2"/>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right="-15"/>
              <w:jc w:val="left"/>
              <w:rPr>
                <w:rFonts w:ascii="Verdana"/>
                <w:sz w:val="16"/>
              </w:rPr>
            </w:pPr>
            <w:r>
              <w:rPr>
                <w:rFonts w:ascii="Verdana"/>
                <w:sz w:val="16"/>
              </w:rPr>
              <w:t>00101</w:t>
            </w:r>
          </w:p>
        </w:tc>
        <w:tc>
          <w:tcPr>
            <w:tcW w:w="7779"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82"/>
              <w:jc w:val="left"/>
              <w:rPr>
                <w:rFonts w:ascii="Verdana" w:hAnsi="Verdana"/>
                <w:sz w:val="20"/>
              </w:rPr>
            </w:pPr>
            <w:r>
              <w:rPr>
                <w:rFonts w:ascii="Verdana" w:hAnsi="Verdana"/>
                <w:sz w:val="20"/>
              </w:rPr>
              <w:t>GRADSKO VIJEĆE, URED GRADONAČELNIKA</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67"/>
              <w:rPr>
                <w:rFonts w:ascii="Verdana"/>
                <w:sz w:val="20"/>
              </w:rPr>
            </w:pPr>
            <w:r>
              <w:rPr>
                <w:rFonts w:ascii="Verdana"/>
                <w:sz w:val="20"/>
              </w:rPr>
              <w:t>241.000,00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69"/>
              <w:rPr>
                <w:rFonts w:ascii="Verdana"/>
                <w:sz w:val="20"/>
              </w:rPr>
            </w:pPr>
            <w:r>
              <w:rPr>
                <w:rFonts w:ascii="Verdana"/>
                <w:sz w:val="20"/>
              </w:rPr>
              <w:t>296.000,00</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4"/>
              <w:rPr>
                <w:rFonts w:ascii="Verdana"/>
                <w:sz w:val="20"/>
              </w:rPr>
            </w:pPr>
            <w:r>
              <w:rPr>
                <w:rFonts w:ascii="Verdana"/>
                <w:sz w:val="20"/>
              </w:rPr>
              <w:t>221.679,25</w:t>
            </w:r>
          </w:p>
        </w:tc>
        <w:tc>
          <w:tcPr>
            <w:tcW w:w="1104"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57"/>
              <w:rPr>
                <w:rFonts w:ascii="Verdana"/>
                <w:sz w:val="20"/>
              </w:rPr>
            </w:pPr>
            <w:r>
              <w:rPr>
                <w:rFonts w:ascii="Verdana"/>
                <w:sz w:val="20"/>
              </w:rPr>
              <w:t>74,89%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Ostali nespomenuti rashodi poslovanja</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85.000,00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140.000,00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124.180,27</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88,70%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3291</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Naknade za rad predstavničkih i izvršnih tijela, povjerenstava i slično</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85.000,00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140.000,00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124.180,27</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88,70%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Ostali nespomenuti rashodi poslovanja</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125.000,00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66.498,98</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53,20%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3291</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Naknade za rad predstavničkih i izvršnih tijela, povjerenstava i slično</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55.000,00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29.360,87</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53,38%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3293</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Reprezentacija</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65.000,00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65.000,00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35.730,11</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54,97%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3299</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Ostali nespomenuti rashodi poslovanja</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1.408,00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28,16%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31.000,00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31.000,00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100,00%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3811</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 u novcu</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31.000,00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31.000,00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100,00%</w:t>
            </w:r>
          </w:p>
        </w:tc>
      </w:tr>
      <w:tr>
        <w:trPr>
          <w:trHeight w:val="505" w:hRule="atLeast"/>
        </w:trPr>
        <w:tc>
          <w:tcPr>
            <w:tcW w:w="1135" w:type="dxa"/>
            <w:gridSpan w:val="2"/>
            <w:tcBorders>
              <w:top w:val="single" w:sz="8" w:space="0" w:color="000000"/>
              <w:left w:val="nil"/>
              <w:bottom w:val="single" w:sz="8" w:space="0" w:color="000000"/>
              <w:right w:val="single" w:sz="2" w:space="0" w:color="000000"/>
            </w:tcBorders>
            <w:shd w:val="clear" w:color="auto" w:fill="656599"/>
          </w:tcPr>
          <w:p>
            <w:pPr>
              <w:pStyle w:val="TableParagraph"/>
              <w:spacing w:before="9"/>
              <w:ind w:left="27"/>
              <w:jc w:val="left"/>
              <w:rPr>
                <w:rFonts w:ascii="Verdana"/>
                <w:sz w:val="16"/>
              </w:rPr>
            </w:pPr>
            <w:r>
              <w:rPr>
                <w:rFonts w:ascii="Verdana"/>
                <w:sz w:val="16"/>
              </w:rPr>
              <w:t>RAZDJEL</w:t>
            </w:r>
          </w:p>
          <w:p>
            <w:pPr>
              <w:pStyle w:val="TableParagraph"/>
              <w:spacing w:line="193" w:lineRule="exact" w:before="89"/>
              <w:ind w:right="3"/>
              <w:rPr>
                <w:rFonts w:ascii="Verdana"/>
                <w:sz w:val="16"/>
              </w:rPr>
            </w:pPr>
            <w:r>
              <w:rPr>
                <w:rFonts w:ascii="Verdana"/>
                <w:sz w:val="16"/>
              </w:rPr>
              <w:t>002</w:t>
            </w:r>
          </w:p>
        </w:tc>
        <w:tc>
          <w:tcPr>
            <w:tcW w:w="7779"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82"/>
              <w:jc w:val="left"/>
              <w:rPr>
                <w:rFonts w:ascii="Verdana" w:hAnsi="Verdana"/>
                <w:sz w:val="20"/>
              </w:rPr>
            </w:pPr>
            <w:r>
              <w:rPr>
                <w:rFonts w:ascii="Verdana" w:hAnsi="Verdana"/>
                <w:sz w:val="20"/>
              </w:rPr>
              <w:t>UPRAVNI ODJEL ZA OPĆE POSLOVE I DRUŠTVENE DJELATNOSTI</w:t>
            </w:r>
          </w:p>
        </w:tc>
        <w:tc>
          <w:tcPr>
            <w:tcW w:w="1832"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69"/>
              <w:rPr>
                <w:rFonts w:ascii="Verdana"/>
                <w:sz w:val="20"/>
              </w:rPr>
            </w:pPr>
            <w:r>
              <w:rPr>
                <w:rFonts w:ascii="Verdana"/>
                <w:sz w:val="20"/>
              </w:rPr>
              <w:t>5.463.952,96</w:t>
            </w:r>
          </w:p>
        </w:tc>
        <w:tc>
          <w:tcPr>
            <w:tcW w:w="1831"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1"/>
              <w:rPr>
                <w:rFonts w:ascii="Verdana"/>
                <w:sz w:val="20"/>
              </w:rPr>
            </w:pPr>
            <w:r>
              <w:rPr>
                <w:rFonts w:ascii="Verdana"/>
                <w:sz w:val="20"/>
              </w:rPr>
              <w:t>5.463.952,96</w:t>
            </w:r>
          </w:p>
        </w:tc>
        <w:tc>
          <w:tcPr>
            <w:tcW w:w="1832"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6"/>
              <w:rPr>
                <w:rFonts w:ascii="Verdana"/>
                <w:sz w:val="20"/>
              </w:rPr>
            </w:pPr>
            <w:r>
              <w:rPr>
                <w:rFonts w:ascii="Verdana"/>
                <w:sz w:val="20"/>
              </w:rPr>
              <w:t>2.528.439,06</w:t>
            </w:r>
          </w:p>
        </w:tc>
        <w:tc>
          <w:tcPr>
            <w:tcW w:w="1104"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57"/>
              <w:rPr>
                <w:rFonts w:ascii="Verdana"/>
                <w:sz w:val="20"/>
              </w:rPr>
            </w:pPr>
            <w:r>
              <w:rPr>
                <w:rFonts w:ascii="Verdana"/>
                <w:sz w:val="20"/>
              </w:rPr>
              <w:t>46,27%</w:t>
            </w:r>
          </w:p>
        </w:tc>
      </w:tr>
      <w:tr>
        <w:trPr>
          <w:trHeight w:val="505" w:hRule="atLeast"/>
        </w:trPr>
        <w:tc>
          <w:tcPr>
            <w:tcW w:w="1135" w:type="dxa"/>
            <w:gridSpan w:val="2"/>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right="-15"/>
              <w:jc w:val="left"/>
              <w:rPr>
                <w:rFonts w:ascii="Verdana"/>
                <w:sz w:val="16"/>
              </w:rPr>
            </w:pPr>
            <w:r>
              <w:rPr>
                <w:rFonts w:ascii="Verdana"/>
                <w:sz w:val="16"/>
              </w:rPr>
              <w:t>00201</w:t>
            </w:r>
          </w:p>
        </w:tc>
        <w:tc>
          <w:tcPr>
            <w:tcW w:w="7779"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82"/>
              <w:jc w:val="left"/>
              <w:rPr>
                <w:rFonts w:ascii="Verdana" w:hAnsi="Verdana"/>
                <w:sz w:val="20"/>
              </w:rPr>
            </w:pPr>
            <w:r>
              <w:rPr>
                <w:rFonts w:ascii="Verdana" w:hAnsi="Verdana"/>
                <w:sz w:val="20"/>
              </w:rPr>
              <w:t>UO ZA OPĆE POSLOVE I DRUŠTVENE DJELATNOSTI</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69"/>
              <w:rPr>
                <w:rFonts w:ascii="Verdana"/>
                <w:sz w:val="20"/>
              </w:rPr>
            </w:pPr>
            <w:r>
              <w:rPr>
                <w:rFonts w:ascii="Verdana"/>
                <w:sz w:val="20"/>
              </w:rPr>
              <w:t>1.235.000,00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1"/>
              <w:rPr>
                <w:rFonts w:ascii="Verdana"/>
                <w:sz w:val="20"/>
              </w:rPr>
            </w:pPr>
            <w:r>
              <w:rPr>
                <w:rFonts w:ascii="Verdana"/>
                <w:sz w:val="20"/>
              </w:rPr>
              <w:t>1.235.000,00</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4"/>
              <w:rPr>
                <w:rFonts w:ascii="Verdana"/>
                <w:sz w:val="20"/>
              </w:rPr>
            </w:pPr>
            <w:r>
              <w:rPr>
                <w:rFonts w:ascii="Verdana"/>
                <w:sz w:val="20"/>
              </w:rPr>
              <w:t>682.123,23</w:t>
            </w:r>
          </w:p>
        </w:tc>
        <w:tc>
          <w:tcPr>
            <w:tcW w:w="1104"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57"/>
              <w:rPr>
                <w:rFonts w:ascii="Verdana"/>
                <w:sz w:val="20"/>
              </w:rPr>
            </w:pPr>
            <w:r>
              <w:rPr>
                <w:rFonts w:ascii="Verdana"/>
                <w:sz w:val="20"/>
              </w:rPr>
              <w:t>55,23%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132.000,00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132.000,00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104.900,00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79,47%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3811</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 u novcu</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132.000,00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132.000,00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104.900,00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79,47%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30.000,00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5.000,00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16,67%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3811</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 u novcu</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30.000,00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5.000,00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16,67%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Rashodi za usluge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96.000,00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96.000,00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40.000,00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41,67%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3235</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Zakupnine i najamnine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96.000,00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96.000,00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40.000,00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41,67%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3811</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 u novcu</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372</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Ostale naknade građanima i kućanstvima iz proračuna</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20.000,00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3722</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Naknade građanima i kućanstvima u naravi</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20.000,00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w:t>
            </w:r>
          </w:p>
        </w:tc>
        <w:tc>
          <w:tcPr>
            <w:tcW w:w="401"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3.968,00</w:t>
            </w:r>
          </w:p>
        </w:tc>
        <w:tc>
          <w:tcPr>
            <w:tcW w:w="1104" w:type="dxa"/>
            <w:tcBorders>
              <w:top w:val="single" w:sz="8" w:space="0" w:color="000000"/>
              <w:left w:val="single" w:sz="2" w:space="0" w:color="000000"/>
              <w:bottom w:val="single" w:sz="8" w:space="0" w:color="000000"/>
              <w:right w:val="nil"/>
            </w:tcBorders>
          </w:tcPr>
          <w:p>
            <w:pPr>
              <w:pStyle w:val="TableParagraph"/>
              <w:ind w:right="50"/>
              <w:rPr>
                <w:sz w:val="16"/>
              </w:rPr>
            </w:pPr>
            <w:r>
              <w:rPr>
                <w:sz w:val="16"/>
              </w:rPr>
              <w:t>79,36%</w:t>
            </w:r>
          </w:p>
        </w:tc>
      </w:tr>
      <w:tr>
        <w:trPr>
          <w:trHeight w:val="280" w:hRule="atLeast"/>
        </w:trPr>
        <w:tc>
          <w:tcPr>
            <w:tcW w:w="734" w:type="dxa"/>
            <w:tcBorders>
              <w:top w:val="single" w:sz="8" w:space="0" w:color="000000"/>
              <w:left w:val="nil"/>
              <w:bottom w:val="nil"/>
              <w:right w:val="single" w:sz="2" w:space="0" w:color="000000"/>
            </w:tcBorders>
          </w:tcPr>
          <w:p>
            <w:pPr>
              <w:pStyle w:val="TableParagraph"/>
              <w:ind w:right="5"/>
              <w:rPr>
                <w:sz w:val="16"/>
              </w:rPr>
            </w:pPr>
            <w:r>
              <w:rPr>
                <w:sz w:val="16"/>
              </w:rPr>
              <w:t>3811</w:t>
            </w:r>
          </w:p>
        </w:tc>
        <w:tc>
          <w:tcPr>
            <w:tcW w:w="401"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9" w:type="dxa"/>
            <w:tcBorders>
              <w:top w:val="single" w:sz="8" w:space="0" w:color="000000"/>
              <w:left w:val="single" w:sz="2" w:space="0" w:color="000000"/>
              <w:bottom w:val="nil"/>
              <w:right w:val="single" w:sz="2" w:space="0" w:color="000000"/>
            </w:tcBorders>
          </w:tcPr>
          <w:p>
            <w:pPr>
              <w:pStyle w:val="TableParagraph"/>
              <w:ind w:left="90"/>
              <w:jc w:val="left"/>
              <w:rPr>
                <w:sz w:val="16"/>
              </w:rPr>
            </w:pPr>
            <w:r>
              <w:rPr>
                <w:sz w:val="16"/>
              </w:rPr>
              <w:t>Tekuće donacije u novcu</w:t>
            </w:r>
          </w:p>
        </w:tc>
        <w:tc>
          <w:tcPr>
            <w:tcW w:w="1832" w:type="dxa"/>
            <w:tcBorders>
              <w:top w:val="single" w:sz="8" w:space="0" w:color="000000"/>
              <w:left w:val="single" w:sz="2" w:space="0" w:color="000000"/>
              <w:bottom w:val="nil"/>
              <w:right w:val="single" w:sz="2" w:space="0" w:color="000000"/>
            </w:tcBorders>
          </w:tcPr>
          <w:p>
            <w:pPr>
              <w:pStyle w:val="TableParagraph"/>
              <w:ind w:right="52"/>
              <w:rPr>
                <w:sz w:val="16"/>
              </w:rPr>
            </w:pPr>
            <w:r>
              <w:rPr>
                <w:sz w:val="16"/>
              </w:rPr>
              <w:t>5.000,00</w:t>
            </w:r>
          </w:p>
        </w:tc>
        <w:tc>
          <w:tcPr>
            <w:tcW w:w="1831" w:type="dxa"/>
            <w:tcBorders>
              <w:top w:val="single" w:sz="8" w:space="0" w:color="000000"/>
              <w:left w:val="single" w:sz="2" w:space="0" w:color="000000"/>
              <w:bottom w:val="nil"/>
              <w:right w:val="single" w:sz="2" w:space="0" w:color="000000"/>
            </w:tcBorders>
          </w:tcPr>
          <w:p>
            <w:pPr>
              <w:pStyle w:val="TableParagraph"/>
              <w:ind w:right="54"/>
              <w:rPr>
                <w:sz w:val="16"/>
              </w:rPr>
            </w:pPr>
            <w:r>
              <w:rPr>
                <w:sz w:val="16"/>
              </w:rPr>
              <w:t>5.000,00</w:t>
            </w:r>
          </w:p>
        </w:tc>
        <w:tc>
          <w:tcPr>
            <w:tcW w:w="1832" w:type="dxa"/>
            <w:tcBorders>
              <w:top w:val="single" w:sz="8" w:space="0" w:color="000000"/>
              <w:left w:val="single" w:sz="2" w:space="0" w:color="000000"/>
              <w:bottom w:val="nil"/>
              <w:right w:val="single" w:sz="2" w:space="0" w:color="000000"/>
            </w:tcBorders>
          </w:tcPr>
          <w:p>
            <w:pPr>
              <w:pStyle w:val="TableParagraph"/>
              <w:ind w:right="60"/>
              <w:rPr>
                <w:sz w:val="16"/>
              </w:rPr>
            </w:pPr>
            <w:r>
              <w:rPr>
                <w:sz w:val="16"/>
              </w:rPr>
              <w:t>3.968,00</w:t>
            </w:r>
          </w:p>
        </w:tc>
        <w:tc>
          <w:tcPr>
            <w:tcW w:w="1104" w:type="dxa"/>
            <w:tcBorders>
              <w:top w:val="single" w:sz="8" w:space="0" w:color="000000"/>
              <w:left w:val="single" w:sz="2" w:space="0" w:color="000000"/>
              <w:bottom w:val="nil"/>
              <w:right w:val="nil"/>
            </w:tcBorders>
          </w:tcPr>
          <w:p>
            <w:pPr>
              <w:pStyle w:val="TableParagraph"/>
              <w:ind w:right="50"/>
              <w:rPr>
                <w:sz w:val="16"/>
              </w:rPr>
            </w:pPr>
            <w:r>
              <w:rPr>
                <w:sz w:val="16"/>
              </w:rPr>
              <w:t>79,36%</w:t>
            </w:r>
          </w:p>
        </w:tc>
      </w:tr>
    </w:tbl>
    <w:p>
      <w:pPr>
        <w:spacing w:after="0"/>
        <w:rPr>
          <w:sz w:val="16"/>
        </w:rPr>
        <w:sectPr>
          <w:footerReference w:type="default" r:id="rId9"/>
          <w:pgSz w:w="16840" w:h="11900" w:orient="landscape"/>
          <w:pgMar w:footer="721" w:header="0"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5"/>
      </w:tblGrid>
      <w:tr>
        <w:trPr>
          <w:trHeight w:val="828" w:hRule="atLeast"/>
        </w:trPr>
        <w:tc>
          <w:tcPr>
            <w:tcW w:w="15514" w:type="dxa"/>
            <w:gridSpan w:val="7"/>
            <w:tcBorders>
              <w:left w:val="nil"/>
              <w:bottom w:val="single" w:sz="8" w:space="0" w:color="000000"/>
              <w:right w:val="nil"/>
            </w:tcBorders>
            <w:shd w:val="clear" w:color="auto" w:fill="C0C0C0"/>
          </w:tcPr>
          <w:p>
            <w:pPr>
              <w:pStyle w:val="TableParagraph"/>
              <w:spacing w:before="56"/>
              <w:ind w:left="1439" w:right="1456"/>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70"/>
              <w:jc w:val="center"/>
              <w:rPr>
                <w:rFonts w:ascii="Times New Roman"/>
                <w:sz w:val="22"/>
              </w:rPr>
            </w:pPr>
            <w:r>
              <w:rPr>
                <w:rFonts w:ascii="Times New Roman"/>
                <w:sz w:val="22"/>
              </w:rPr>
              <w:t>POSEBNI DIO - EKONOMSKA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7" w:hanging="5"/>
              <w:jc w:val="center"/>
              <w:rPr>
                <w:sz w:val="20"/>
              </w:rPr>
            </w:pPr>
            <w:r>
              <w:rPr>
                <w:sz w:val="20"/>
              </w:rPr>
              <w:t>Račun/ </w:t>
            </w:r>
            <w:r>
              <w:rPr>
                <w:w w:val="95"/>
                <w:sz w:val="20"/>
              </w:rPr>
              <w:t>Pozicija</w:t>
            </w:r>
          </w:p>
          <w:p>
            <w:pPr>
              <w:pStyle w:val="TableParagraph"/>
              <w:spacing w:before="84"/>
              <w:ind w:left="172"/>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6"/>
              <w:jc w:val="center"/>
              <w:rPr>
                <w:sz w:val="20"/>
              </w:rPr>
            </w:pPr>
            <w:r>
              <w:rPr>
                <w:sz w:val="20"/>
              </w:rPr>
              <w:t>Opis</w:t>
            </w:r>
          </w:p>
          <w:p>
            <w:pPr>
              <w:pStyle w:val="TableParagraph"/>
              <w:spacing w:before="4"/>
              <w:jc w:val="left"/>
              <w:rPr>
                <w:rFonts w:ascii="Times New Roman"/>
                <w:sz w:val="28"/>
              </w:rPr>
            </w:pPr>
          </w:p>
          <w:p>
            <w:pPr>
              <w:pStyle w:val="TableParagraph"/>
              <w:spacing w:before="0"/>
              <w:ind w:left="6"/>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2" w:right="138"/>
              <w:jc w:val="center"/>
              <w:rPr>
                <w:sz w:val="20"/>
              </w:rPr>
            </w:pPr>
            <w:r>
              <w:rPr>
                <w:sz w:val="20"/>
              </w:rPr>
              <w:t>Izvorni plan za 2014. godinu</w:t>
            </w:r>
          </w:p>
          <w:p>
            <w:pPr>
              <w:pStyle w:val="TableParagraph"/>
              <w:spacing w:before="89"/>
              <w:ind w:left="3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1"/>
              <w:jc w:val="center"/>
              <w:rPr>
                <w:sz w:val="20"/>
              </w:rPr>
            </w:pPr>
            <w:r>
              <w:rPr>
                <w:sz w:val="20"/>
              </w:rPr>
              <w:t>Tekući plan za 2014. godinu</w:t>
            </w:r>
          </w:p>
          <w:p>
            <w:pPr>
              <w:pStyle w:val="TableParagraph"/>
              <w:spacing w:before="89"/>
              <w:ind w:left="27"/>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7"/>
              <w:jc w:val="center"/>
              <w:rPr>
                <w:sz w:val="20"/>
              </w:rPr>
            </w:pPr>
            <w:r>
              <w:rPr>
                <w:sz w:val="20"/>
              </w:rPr>
              <w:t>Izvršenje 01.01.-</w:t>
            </w:r>
          </w:p>
          <w:p>
            <w:pPr>
              <w:pStyle w:val="TableParagraph"/>
              <w:spacing w:line="241" w:lineRule="exact" w:before="0"/>
              <w:ind w:left="147" w:right="124"/>
              <w:jc w:val="center"/>
              <w:rPr>
                <w:sz w:val="20"/>
              </w:rPr>
            </w:pPr>
            <w:r>
              <w:rPr>
                <w:sz w:val="20"/>
              </w:rPr>
              <w:t>30.06.2014.</w:t>
            </w:r>
          </w:p>
          <w:p>
            <w:pPr>
              <w:pStyle w:val="TableParagraph"/>
              <w:spacing w:before="90"/>
              <w:ind w:left="22"/>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28"/>
              <w:jc w:val="center"/>
              <w:rPr>
                <w:sz w:val="20"/>
              </w:rPr>
            </w:pPr>
            <w:r>
              <w:rPr>
                <w:w w:val="95"/>
                <w:sz w:val="20"/>
              </w:rPr>
              <w:t>Indeks </w:t>
            </w:r>
            <w:r>
              <w:rPr>
                <w:sz w:val="20"/>
              </w:rPr>
              <w:t>5/4</w:t>
            </w:r>
          </w:p>
          <w:p>
            <w:pPr>
              <w:pStyle w:val="TableParagraph"/>
              <w:spacing w:before="89"/>
              <w:ind w:left="36"/>
              <w:jc w:val="center"/>
              <w:rPr>
                <w:sz w:val="18"/>
              </w:rPr>
            </w:pPr>
            <w:r>
              <w:rPr>
                <w:w w:val="100"/>
                <w:sz w:val="18"/>
              </w:rPr>
              <w:t>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372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Ostale naknade građanima i kućanstvima iz proračuna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33.000,00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55,00%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3721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građanima i kućanstvima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33.000,00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55,00%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372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Ostale naknade građanima i kućanstvima iz proračuna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508.000,00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508.000,00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248.055,56</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48,83%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3721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građanima i kućanstvima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188.000,00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188.000,00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51.620,00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27,46%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3722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građanima i kućanstvima u naravi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196.435,56</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61,39%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238.000,00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238.000,00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181.199,67</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76,13%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238.000,00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238.000,00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181.199,67</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76,13%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136.000,00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136.000,00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66.000,00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48,53%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136.000,00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136.000,00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66.000,00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48,53%</w:t>
            </w:r>
          </w:p>
        </w:tc>
      </w:tr>
      <w:tr>
        <w:trPr>
          <w:trHeight w:val="505" w:hRule="atLeast"/>
        </w:trPr>
        <w:tc>
          <w:tcPr>
            <w:tcW w:w="1136" w:type="dxa"/>
            <w:gridSpan w:val="2"/>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right="-15"/>
              <w:jc w:val="left"/>
              <w:rPr>
                <w:rFonts w:ascii="Verdana"/>
                <w:sz w:val="16"/>
              </w:rPr>
            </w:pPr>
            <w:r>
              <w:rPr>
                <w:rFonts w:ascii="Verdana"/>
                <w:sz w:val="16"/>
              </w:rPr>
              <w:t>00202</w:t>
            </w:r>
          </w:p>
        </w:tc>
        <w:tc>
          <w:tcPr>
            <w:tcW w:w="7778"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81"/>
              <w:jc w:val="left"/>
              <w:rPr>
                <w:rFonts w:ascii="Verdana" w:hAnsi="Verdana"/>
                <w:sz w:val="20"/>
              </w:rPr>
            </w:pPr>
            <w:r>
              <w:rPr>
                <w:rFonts w:ascii="Verdana" w:hAnsi="Verdana"/>
                <w:sz w:val="20"/>
              </w:rPr>
              <w:t>PRORAČUNSKI KORISNIK: 27476- PUČKO OTVORENO UČILIŠTE</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68"/>
              <w:rPr>
                <w:rFonts w:ascii="Verdana"/>
                <w:sz w:val="20"/>
              </w:rPr>
            </w:pPr>
            <w:r>
              <w:rPr>
                <w:rFonts w:ascii="Verdana"/>
                <w:sz w:val="20"/>
              </w:rPr>
              <w:t>28.952,96</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0"/>
              <w:rPr>
                <w:rFonts w:ascii="Verdana"/>
                <w:sz w:val="20"/>
              </w:rPr>
            </w:pPr>
            <w:r>
              <w:rPr>
                <w:rFonts w:ascii="Verdana"/>
                <w:sz w:val="20"/>
              </w:rPr>
              <w:t>28.952,96</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2"/>
              <w:rPr>
                <w:rFonts w:ascii="Verdana"/>
                <w:sz w:val="20"/>
              </w:rPr>
            </w:pPr>
            <w:r>
              <w:rPr>
                <w:rFonts w:ascii="Verdana"/>
                <w:sz w:val="20"/>
              </w:rPr>
              <w:t>3.178,59</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58"/>
              <w:rPr>
                <w:rFonts w:ascii="Verdana"/>
                <w:sz w:val="20"/>
              </w:rPr>
            </w:pPr>
            <w:r>
              <w:rPr>
                <w:rFonts w:ascii="Verdana"/>
                <w:sz w:val="20"/>
              </w:rPr>
              <w:t>10,98%</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zaposlenima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Stručno usavršavanje zaposlenika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3.400,00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3.400,00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1.378,59</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40,55%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Uredski materijal i ostali materijalni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1.378,59</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45,95%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3225</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Sitni inventar i auto gume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400,00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telefona, pošte i prijevoza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6"/>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6"/>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5.552,96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5.552,96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5.552,96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5.552,96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3.600,00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3.600,00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1.800,00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Reprezentacija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6"/>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Članarine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3.600,00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3.600,00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1.800,00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Uredska oprema i namještaj</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93" w:hRule="atLeast"/>
        </w:trPr>
        <w:tc>
          <w:tcPr>
            <w:tcW w:w="734" w:type="dxa"/>
            <w:tcBorders>
              <w:top w:val="single" w:sz="8" w:space="0" w:color="000000"/>
              <w:left w:val="nil"/>
              <w:right w:val="single" w:sz="2" w:space="0" w:color="000000"/>
            </w:tcBorders>
          </w:tcPr>
          <w:p>
            <w:pPr>
              <w:pStyle w:val="TableParagraph"/>
              <w:ind w:right="5"/>
              <w:rPr>
                <w:sz w:val="16"/>
              </w:rPr>
            </w:pPr>
            <w:r>
              <w:rPr>
                <w:sz w:val="16"/>
              </w:rPr>
              <w:t>426</w:t>
            </w:r>
          </w:p>
        </w:tc>
        <w:tc>
          <w:tcPr>
            <w:tcW w:w="402" w:type="dxa"/>
            <w:tcBorders>
              <w:top w:val="single" w:sz="8" w:space="0" w:color="000000"/>
              <w:left w:val="single" w:sz="2"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right w:val="single" w:sz="2" w:space="0" w:color="000000"/>
            </w:tcBorders>
          </w:tcPr>
          <w:p>
            <w:pPr>
              <w:pStyle w:val="TableParagraph"/>
              <w:ind w:left="89"/>
              <w:jc w:val="left"/>
              <w:rPr>
                <w:sz w:val="16"/>
              </w:rPr>
            </w:pPr>
            <w:r>
              <w:rPr>
                <w:sz w:val="16"/>
              </w:rPr>
              <w:t>Nematerijalna proizvedena imovina</w:t>
            </w:r>
          </w:p>
        </w:tc>
        <w:tc>
          <w:tcPr>
            <w:tcW w:w="1833" w:type="dxa"/>
            <w:tcBorders>
              <w:top w:val="single" w:sz="8" w:space="0" w:color="000000"/>
              <w:left w:val="single" w:sz="2" w:space="0" w:color="000000"/>
              <w:right w:val="single" w:sz="2" w:space="0" w:color="000000"/>
            </w:tcBorders>
          </w:tcPr>
          <w:p>
            <w:pPr>
              <w:pStyle w:val="TableParagraph"/>
              <w:ind w:right="53"/>
              <w:rPr>
                <w:sz w:val="16"/>
              </w:rPr>
            </w:pPr>
            <w:r>
              <w:rPr>
                <w:sz w:val="16"/>
              </w:rPr>
              <w:t>2.000,00</w:t>
            </w:r>
          </w:p>
        </w:tc>
        <w:tc>
          <w:tcPr>
            <w:tcW w:w="1831" w:type="dxa"/>
            <w:tcBorders>
              <w:top w:val="single" w:sz="8" w:space="0" w:color="000000"/>
              <w:left w:val="single" w:sz="2" w:space="0" w:color="000000"/>
              <w:right w:val="single" w:sz="2" w:space="0" w:color="000000"/>
            </w:tcBorders>
          </w:tcPr>
          <w:p>
            <w:pPr>
              <w:pStyle w:val="TableParagraph"/>
              <w:ind w:right="55"/>
              <w:rPr>
                <w:sz w:val="16"/>
              </w:rPr>
            </w:pPr>
            <w:r>
              <w:rPr>
                <w:sz w:val="16"/>
              </w:rPr>
              <w:t>2.000,00</w:t>
            </w:r>
          </w:p>
        </w:tc>
        <w:tc>
          <w:tcPr>
            <w:tcW w:w="1831" w:type="dxa"/>
            <w:tcBorders>
              <w:top w:val="single" w:sz="8" w:space="0" w:color="000000"/>
              <w:left w:val="single" w:sz="2"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right w:val="nil"/>
            </w:tcBorders>
          </w:tcPr>
          <w:p>
            <w:pPr>
              <w:pStyle w:val="TableParagraph"/>
              <w:ind w:right="51"/>
              <w:rPr>
                <w:sz w:val="16"/>
              </w:rPr>
            </w:pPr>
            <w:r>
              <w:rPr>
                <w:sz w:val="16"/>
              </w:rPr>
              <w:t>0,00%</w:t>
            </w:r>
          </w:p>
        </w:tc>
      </w:tr>
    </w:tbl>
    <w:p>
      <w:pPr>
        <w:spacing w:after="0"/>
        <w:rPr>
          <w:sz w:val="16"/>
        </w:rPr>
        <w:sectPr>
          <w:footerReference w:type="default" r:id="rId10"/>
          <w:pgSz w:w="16840" w:h="11900" w:orient="landscape"/>
          <w:pgMar w:footer="721" w:header="0" w:top="1100" w:bottom="920" w:left="740" w:right="340"/>
          <w:pgNumType w:start="12"/>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5"/>
      </w:tblGrid>
      <w:tr>
        <w:trPr>
          <w:trHeight w:val="828" w:hRule="atLeast"/>
        </w:trPr>
        <w:tc>
          <w:tcPr>
            <w:tcW w:w="15514" w:type="dxa"/>
            <w:gridSpan w:val="7"/>
            <w:tcBorders>
              <w:left w:val="nil"/>
              <w:bottom w:val="single" w:sz="8" w:space="0" w:color="000000"/>
              <w:right w:val="nil"/>
            </w:tcBorders>
            <w:shd w:val="clear" w:color="auto" w:fill="C0C0C0"/>
          </w:tcPr>
          <w:p>
            <w:pPr>
              <w:pStyle w:val="TableParagraph"/>
              <w:spacing w:before="56"/>
              <w:ind w:left="1439" w:right="1456"/>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70"/>
              <w:jc w:val="center"/>
              <w:rPr>
                <w:rFonts w:ascii="Times New Roman"/>
                <w:sz w:val="22"/>
              </w:rPr>
            </w:pPr>
            <w:r>
              <w:rPr>
                <w:rFonts w:ascii="Times New Roman"/>
                <w:sz w:val="22"/>
              </w:rPr>
              <w:t>POSEBNI DIO - EKONOMSKA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7" w:hanging="5"/>
              <w:jc w:val="center"/>
              <w:rPr>
                <w:sz w:val="20"/>
              </w:rPr>
            </w:pPr>
            <w:r>
              <w:rPr>
                <w:sz w:val="20"/>
              </w:rPr>
              <w:t>Račun/ </w:t>
            </w:r>
            <w:r>
              <w:rPr>
                <w:w w:val="95"/>
                <w:sz w:val="20"/>
              </w:rPr>
              <w:t>Pozicija</w:t>
            </w:r>
          </w:p>
          <w:p>
            <w:pPr>
              <w:pStyle w:val="TableParagraph"/>
              <w:spacing w:before="84"/>
              <w:ind w:left="172"/>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6"/>
              <w:jc w:val="center"/>
              <w:rPr>
                <w:sz w:val="20"/>
              </w:rPr>
            </w:pPr>
            <w:r>
              <w:rPr>
                <w:sz w:val="20"/>
              </w:rPr>
              <w:t>Opis</w:t>
            </w:r>
          </w:p>
          <w:p>
            <w:pPr>
              <w:pStyle w:val="TableParagraph"/>
              <w:spacing w:before="4"/>
              <w:jc w:val="left"/>
              <w:rPr>
                <w:rFonts w:ascii="Times New Roman"/>
                <w:sz w:val="28"/>
              </w:rPr>
            </w:pPr>
          </w:p>
          <w:p>
            <w:pPr>
              <w:pStyle w:val="TableParagraph"/>
              <w:spacing w:before="0"/>
              <w:ind w:left="6"/>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2" w:right="138"/>
              <w:jc w:val="center"/>
              <w:rPr>
                <w:sz w:val="20"/>
              </w:rPr>
            </w:pPr>
            <w:r>
              <w:rPr>
                <w:sz w:val="20"/>
              </w:rPr>
              <w:t>Izvorni plan za 2014. godinu</w:t>
            </w:r>
          </w:p>
          <w:p>
            <w:pPr>
              <w:pStyle w:val="TableParagraph"/>
              <w:spacing w:before="89"/>
              <w:ind w:left="3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1"/>
              <w:jc w:val="center"/>
              <w:rPr>
                <w:sz w:val="20"/>
              </w:rPr>
            </w:pPr>
            <w:r>
              <w:rPr>
                <w:sz w:val="20"/>
              </w:rPr>
              <w:t>Tekući plan za 2014. godinu</w:t>
            </w:r>
          </w:p>
          <w:p>
            <w:pPr>
              <w:pStyle w:val="TableParagraph"/>
              <w:spacing w:before="89"/>
              <w:ind w:left="27"/>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7"/>
              <w:jc w:val="center"/>
              <w:rPr>
                <w:sz w:val="20"/>
              </w:rPr>
            </w:pPr>
            <w:r>
              <w:rPr>
                <w:sz w:val="20"/>
              </w:rPr>
              <w:t>Izvršenje 01.01.-</w:t>
            </w:r>
          </w:p>
          <w:p>
            <w:pPr>
              <w:pStyle w:val="TableParagraph"/>
              <w:spacing w:line="241" w:lineRule="exact" w:before="0"/>
              <w:ind w:left="147" w:right="124"/>
              <w:jc w:val="center"/>
              <w:rPr>
                <w:sz w:val="20"/>
              </w:rPr>
            </w:pPr>
            <w:r>
              <w:rPr>
                <w:sz w:val="20"/>
              </w:rPr>
              <w:t>30.06.2014.</w:t>
            </w:r>
          </w:p>
          <w:p>
            <w:pPr>
              <w:pStyle w:val="TableParagraph"/>
              <w:spacing w:before="90"/>
              <w:ind w:left="22"/>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28"/>
              <w:jc w:val="center"/>
              <w:rPr>
                <w:sz w:val="20"/>
              </w:rPr>
            </w:pPr>
            <w:r>
              <w:rPr>
                <w:w w:val="95"/>
                <w:sz w:val="20"/>
              </w:rPr>
              <w:t>Indeks </w:t>
            </w:r>
            <w:r>
              <w:rPr>
                <w:sz w:val="20"/>
              </w:rPr>
              <w:t>5/4</w:t>
            </w:r>
          </w:p>
          <w:p>
            <w:pPr>
              <w:pStyle w:val="TableParagraph"/>
              <w:spacing w:before="89"/>
              <w:ind w:left="36"/>
              <w:jc w:val="center"/>
              <w:rPr>
                <w:sz w:val="18"/>
              </w:rPr>
            </w:pPr>
            <w:r>
              <w:rPr>
                <w:w w:val="100"/>
                <w:sz w:val="18"/>
              </w:rPr>
              <w:t>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4262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Ulaganja u računalne programe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505" w:hRule="atLeast"/>
        </w:trPr>
        <w:tc>
          <w:tcPr>
            <w:tcW w:w="1136" w:type="dxa"/>
            <w:gridSpan w:val="2"/>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right="-15"/>
              <w:jc w:val="left"/>
              <w:rPr>
                <w:rFonts w:ascii="Verdana"/>
                <w:sz w:val="16"/>
              </w:rPr>
            </w:pPr>
            <w:r>
              <w:rPr>
                <w:rFonts w:ascii="Verdana"/>
                <w:sz w:val="16"/>
              </w:rPr>
              <w:t>00203</w:t>
            </w:r>
          </w:p>
        </w:tc>
        <w:tc>
          <w:tcPr>
            <w:tcW w:w="7778"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line="240" w:lineRule="exact" w:before="16"/>
              <w:ind w:left="81"/>
              <w:jc w:val="left"/>
              <w:rPr>
                <w:rFonts w:ascii="Verdana" w:hAnsi="Verdana"/>
                <w:sz w:val="20"/>
              </w:rPr>
            </w:pPr>
            <w:r>
              <w:rPr>
                <w:rFonts w:ascii="Verdana" w:hAnsi="Verdana"/>
                <w:sz w:val="20"/>
              </w:rPr>
              <w:t>PRORAČUNSKI KORISNIK: 42694-GRADSKA KNJIŽNICA I ČITAONICA I.BELOSTENAC</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68"/>
              <w:rPr>
                <w:rFonts w:ascii="Verdana"/>
                <w:sz w:val="20"/>
              </w:rPr>
            </w:pPr>
            <w:r>
              <w:rPr>
                <w:rFonts w:ascii="Verdana"/>
                <w:sz w:val="20"/>
              </w:rPr>
              <w:t>505.000,00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0"/>
              <w:rPr>
                <w:rFonts w:ascii="Verdana"/>
                <w:sz w:val="20"/>
              </w:rPr>
            </w:pPr>
            <w:r>
              <w:rPr>
                <w:rFonts w:ascii="Verdana"/>
                <w:sz w:val="20"/>
              </w:rPr>
              <w:t>505.000,00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4"/>
              <w:rPr>
                <w:rFonts w:ascii="Verdana"/>
                <w:sz w:val="20"/>
              </w:rPr>
            </w:pPr>
            <w:r>
              <w:rPr>
                <w:rFonts w:ascii="Verdana"/>
                <w:sz w:val="20"/>
              </w:rPr>
              <w:t>229.870,38</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58"/>
              <w:rPr>
                <w:rFonts w:ascii="Verdana"/>
                <w:sz w:val="20"/>
              </w:rPr>
            </w:pPr>
            <w:r>
              <w:rPr>
                <w:rFonts w:ascii="Verdana"/>
                <w:sz w:val="20"/>
              </w:rPr>
              <w:t>45,52%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79.834,32</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57,02%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 za redovan rad</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79.834,32</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57,02%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760,00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26,21%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760,00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26,21%</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na 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21.500,00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21.500,00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13.041,34</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60,66%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zdravstveno osiguranje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11.684,16</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61,50%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zapošljavanje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1.357,18</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54,29%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zaposlenima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91,00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1,65%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Službena putovanja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91,00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3,03%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Stručno usavršavanje zaposlenika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13.070,74</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42,16%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Uredski materijal i ostali materijalni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8.654,48</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66,57%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Energija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3.862,96</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42,92%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Mat. i dijelovi za tekuće i investicijsko održavanje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363,30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7,27%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3225</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Sitni inventar i auto gume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190,00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4,75%</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60.404,56</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61,64%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telefona, pošte i prijevoza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3.909,27</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55,85%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5.250,00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75,00%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4.111,00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34,26%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43.698,04</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77,34%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3238</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Računalne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3.436,25</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42,95%</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2.474,52</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35,35%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2.474,52</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35,35%</w:t>
            </w:r>
          </w:p>
        </w:tc>
      </w:tr>
      <w:tr>
        <w:trPr>
          <w:trHeight w:val="298" w:hRule="atLeast"/>
        </w:trPr>
        <w:tc>
          <w:tcPr>
            <w:tcW w:w="734" w:type="dxa"/>
            <w:tcBorders>
              <w:top w:val="single" w:sz="8" w:space="0" w:color="000000"/>
              <w:left w:val="nil"/>
              <w:right w:val="single" w:sz="2" w:space="0" w:color="000000"/>
            </w:tcBorders>
          </w:tcPr>
          <w:p>
            <w:pPr>
              <w:pStyle w:val="TableParagraph"/>
              <w:ind w:right="5"/>
              <w:rPr>
                <w:sz w:val="16"/>
              </w:rPr>
            </w:pPr>
            <w:r>
              <w:rPr>
                <w:sz w:val="16"/>
              </w:rPr>
              <w:t>329</w:t>
            </w:r>
          </w:p>
        </w:tc>
        <w:tc>
          <w:tcPr>
            <w:tcW w:w="402" w:type="dxa"/>
            <w:tcBorders>
              <w:top w:val="single" w:sz="8" w:space="0" w:color="000000"/>
              <w:left w:val="single" w:sz="2"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right w:val="single" w:sz="2" w:space="0" w:color="000000"/>
            </w:tcBorders>
          </w:tcPr>
          <w:p>
            <w:pPr>
              <w:pStyle w:val="TableParagraph"/>
              <w:ind w:right="53"/>
              <w:rPr>
                <w:sz w:val="16"/>
              </w:rPr>
            </w:pPr>
            <w:r>
              <w:rPr>
                <w:sz w:val="16"/>
              </w:rPr>
              <w:t>10.100,00</w:t>
            </w:r>
          </w:p>
        </w:tc>
        <w:tc>
          <w:tcPr>
            <w:tcW w:w="1831" w:type="dxa"/>
            <w:tcBorders>
              <w:top w:val="single" w:sz="8" w:space="0" w:color="000000"/>
              <w:left w:val="single" w:sz="2" w:space="0" w:color="000000"/>
              <w:right w:val="single" w:sz="2" w:space="0" w:color="000000"/>
            </w:tcBorders>
          </w:tcPr>
          <w:p>
            <w:pPr>
              <w:pStyle w:val="TableParagraph"/>
              <w:ind w:right="55"/>
              <w:rPr>
                <w:sz w:val="16"/>
              </w:rPr>
            </w:pPr>
            <w:r>
              <w:rPr>
                <w:sz w:val="16"/>
              </w:rPr>
              <w:t>10.100,00</w:t>
            </w:r>
          </w:p>
        </w:tc>
        <w:tc>
          <w:tcPr>
            <w:tcW w:w="1831" w:type="dxa"/>
            <w:tcBorders>
              <w:top w:val="single" w:sz="8" w:space="0" w:color="000000"/>
              <w:left w:val="single" w:sz="2" w:space="0" w:color="000000"/>
              <w:right w:val="single" w:sz="2" w:space="0" w:color="000000"/>
            </w:tcBorders>
          </w:tcPr>
          <w:p>
            <w:pPr>
              <w:pStyle w:val="TableParagraph"/>
              <w:ind w:right="60"/>
              <w:rPr>
                <w:sz w:val="16"/>
              </w:rPr>
            </w:pPr>
            <w:r>
              <w:rPr>
                <w:sz w:val="16"/>
              </w:rPr>
              <w:t>6.350,38</w:t>
            </w:r>
          </w:p>
        </w:tc>
        <w:tc>
          <w:tcPr>
            <w:tcW w:w="1105" w:type="dxa"/>
            <w:tcBorders>
              <w:top w:val="single" w:sz="8" w:space="0" w:color="000000"/>
              <w:left w:val="single" w:sz="2" w:space="0" w:color="000000"/>
              <w:right w:val="nil"/>
            </w:tcBorders>
          </w:tcPr>
          <w:p>
            <w:pPr>
              <w:pStyle w:val="TableParagraph"/>
              <w:ind w:right="51"/>
              <w:rPr>
                <w:sz w:val="16"/>
              </w:rPr>
            </w:pPr>
            <w:r>
              <w:rPr>
                <w:sz w:val="16"/>
              </w:rPr>
              <w:t>62,88%</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5"/>
      </w:tblGrid>
      <w:tr>
        <w:trPr>
          <w:trHeight w:val="828" w:hRule="atLeast"/>
        </w:trPr>
        <w:tc>
          <w:tcPr>
            <w:tcW w:w="15514" w:type="dxa"/>
            <w:gridSpan w:val="7"/>
            <w:tcBorders>
              <w:left w:val="nil"/>
              <w:bottom w:val="single" w:sz="8" w:space="0" w:color="000000"/>
              <w:right w:val="nil"/>
            </w:tcBorders>
            <w:shd w:val="clear" w:color="auto" w:fill="C0C0C0"/>
          </w:tcPr>
          <w:p>
            <w:pPr>
              <w:pStyle w:val="TableParagraph"/>
              <w:spacing w:before="56"/>
              <w:ind w:left="1439" w:right="1456"/>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70"/>
              <w:jc w:val="center"/>
              <w:rPr>
                <w:rFonts w:ascii="Times New Roman"/>
                <w:sz w:val="22"/>
              </w:rPr>
            </w:pPr>
            <w:r>
              <w:rPr>
                <w:rFonts w:ascii="Times New Roman"/>
                <w:sz w:val="22"/>
              </w:rPr>
              <w:t>POSEBNI DIO - EKONOMSKA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7" w:hanging="5"/>
              <w:jc w:val="center"/>
              <w:rPr>
                <w:sz w:val="20"/>
              </w:rPr>
            </w:pPr>
            <w:r>
              <w:rPr>
                <w:sz w:val="20"/>
              </w:rPr>
              <w:t>Račun/ </w:t>
            </w:r>
            <w:r>
              <w:rPr>
                <w:w w:val="95"/>
                <w:sz w:val="20"/>
              </w:rPr>
              <w:t>Pozicija</w:t>
            </w:r>
          </w:p>
          <w:p>
            <w:pPr>
              <w:pStyle w:val="TableParagraph"/>
              <w:spacing w:before="84"/>
              <w:ind w:left="172"/>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6"/>
              <w:jc w:val="center"/>
              <w:rPr>
                <w:sz w:val="20"/>
              </w:rPr>
            </w:pPr>
            <w:r>
              <w:rPr>
                <w:sz w:val="20"/>
              </w:rPr>
              <w:t>Opis</w:t>
            </w:r>
          </w:p>
          <w:p>
            <w:pPr>
              <w:pStyle w:val="TableParagraph"/>
              <w:spacing w:before="4"/>
              <w:jc w:val="left"/>
              <w:rPr>
                <w:rFonts w:ascii="Times New Roman"/>
                <w:sz w:val="28"/>
              </w:rPr>
            </w:pPr>
          </w:p>
          <w:p>
            <w:pPr>
              <w:pStyle w:val="TableParagraph"/>
              <w:spacing w:before="0"/>
              <w:ind w:left="6"/>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2" w:right="138"/>
              <w:jc w:val="center"/>
              <w:rPr>
                <w:sz w:val="20"/>
              </w:rPr>
            </w:pPr>
            <w:r>
              <w:rPr>
                <w:sz w:val="20"/>
              </w:rPr>
              <w:t>Izvorni plan za 2014. godinu</w:t>
            </w:r>
          </w:p>
          <w:p>
            <w:pPr>
              <w:pStyle w:val="TableParagraph"/>
              <w:spacing w:before="89"/>
              <w:ind w:left="3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1"/>
              <w:jc w:val="center"/>
              <w:rPr>
                <w:sz w:val="20"/>
              </w:rPr>
            </w:pPr>
            <w:r>
              <w:rPr>
                <w:sz w:val="20"/>
              </w:rPr>
              <w:t>Tekući plan za 2014. godinu</w:t>
            </w:r>
          </w:p>
          <w:p>
            <w:pPr>
              <w:pStyle w:val="TableParagraph"/>
              <w:spacing w:before="89"/>
              <w:ind w:left="27"/>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7"/>
              <w:jc w:val="center"/>
              <w:rPr>
                <w:sz w:val="20"/>
              </w:rPr>
            </w:pPr>
            <w:r>
              <w:rPr>
                <w:sz w:val="20"/>
              </w:rPr>
              <w:t>Izvršenje 01.01.-</w:t>
            </w:r>
          </w:p>
          <w:p>
            <w:pPr>
              <w:pStyle w:val="TableParagraph"/>
              <w:spacing w:line="241" w:lineRule="exact" w:before="0"/>
              <w:ind w:left="147" w:right="124"/>
              <w:jc w:val="center"/>
              <w:rPr>
                <w:sz w:val="20"/>
              </w:rPr>
            </w:pPr>
            <w:r>
              <w:rPr>
                <w:sz w:val="20"/>
              </w:rPr>
              <w:t>30.06.2014.</w:t>
            </w:r>
          </w:p>
          <w:p>
            <w:pPr>
              <w:pStyle w:val="TableParagraph"/>
              <w:spacing w:before="90"/>
              <w:ind w:left="22"/>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28"/>
              <w:jc w:val="center"/>
              <w:rPr>
                <w:sz w:val="20"/>
              </w:rPr>
            </w:pPr>
            <w:r>
              <w:rPr>
                <w:w w:val="95"/>
                <w:sz w:val="20"/>
              </w:rPr>
              <w:t>Indeks </w:t>
            </w:r>
            <w:r>
              <w:rPr>
                <w:sz w:val="20"/>
              </w:rPr>
              <w:t>5/4</w:t>
            </w:r>
          </w:p>
          <w:p>
            <w:pPr>
              <w:pStyle w:val="TableParagraph"/>
              <w:spacing w:before="89"/>
              <w:ind w:left="36"/>
              <w:jc w:val="center"/>
              <w:rPr>
                <w:sz w:val="18"/>
              </w:rPr>
            </w:pPr>
            <w:r>
              <w:rPr>
                <w:w w:val="100"/>
                <w:sz w:val="18"/>
              </w:rPr>
              <w:t>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Premije osiguranja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3.200,00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3.200,00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3.101,34</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96,92%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Reprezentacija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1.192,22</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59,61%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2.056,82</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41,98%</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Uređaji, strojevi i oprema za ostale namjene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Knjige, umjetnička djela i ostale izložbene vrijednosti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44.998,52</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100,00%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4241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Knjige u knjižnicama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44.998,52</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100,00%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426</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8.845,00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26,01%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4264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Ostala 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8.845,00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26,01%</w:t>
            </w:r>
          </w:p>
        </w:tc>
      </w:tr>
      <w:tr>
        <w:trPr>
          <w:trHeight w:val="505" w:hRule="atLeast"/>
        </w:trPr>
        <w:tc>
          <w:tcPr>
            <w:tcW w:w="1136" w:type="dxa"/>
            <w:gridSpan w:val="2"/>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right="-15"/>
              <w:jc w:val="left"/>
              <w:rPr>
                <w:rFonts w:ascii="Verdana"/>
                <w:sz w:val="16"/>
              </w:rPr>
            </w:pPr>
            <w:r>
              <w:rPr>
                <w:rFonts w:ascii="Verdana"/>
                <w:sz w:val="16"/>
              </w:rPr>
              <w:t>00204</w:t>
            </w:r>
          </w:p>
        </w:tc>
        <w:tc>
          <w:tcPr>
            <w:tcW w:w="7778"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81"/>
              <w:jc w:val="left"/>
              <w:rPr>
                <w:rFonts w:ascii="Verdana" w:hAnsi="Verdana"/>
                <w:sz w:val="20"/>
              </w:rPr>
            </w:pPr>
            <w:r>
              <w:rPr>
                <w:rFonts w:ascii="Verdana" w:hAnsi="Verdana"/>
                <w:sz w:val="20"/>
              </w:rPr>
              <w:t>PRORAČUNSKI KORISNIK: 42686- ZAVIČAJNI MUZEJ OZALJ</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68"/>
              <w:rPr>
                <w:rFonts w:ascii="Verdana"/>
                <w:sz w:val="20"/>
              </w:rPr>
            </w:pPr>
            <w:r>
              <w:rPr>
                <w:rFonts w:ascii="Verdana"/>
                <w:sz w:val="20"/>
              </w:rPr>
              <w:t>855.000,00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0"/>
              <w:rPr>
                <w:rFonts w:ascii="Verdana"/>
                <w:sz w:val="20"/>
              </w:rPr>
            </w:pPr>
            <w:r>
              <w:rPr>
                <w:rFonts w:ascii="Verdana"/>
                <w:sz w:val="20"/>
              </w:rPr>
              <w:t>855.000,00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4"/>
              <w:rPr>
                <w:rFonts w:ascii="Verdana"/>
                <w:sz w:val="20"/>
              </w:rPr>
            </w:pPr>
            <w:r>
              <w:rPr>
                <w:rFonts w:ascii="Verdana"/>
                <w:sz w:val="20"/>
              </w:rPr>
              <w:t>204.577,12</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58"/>
              <w:rPr>
                <w:rFonts w:ascii="Verdana"/>
                <w:sz w:val="20"/>
              </w:rPr>
            </w:pPr>
            <w:r>
              <w:rPr>
                <w:rFonts w:ascii="Verdana"/>
                <w:sz w:val="20"/>
              </w:rPr>
              <w:t>23,93%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174.000,00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174.000,00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60.592,77</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34,82%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 za redovan rad</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174.000,00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174.000,00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60.592,77</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34,82%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9.800,00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9.800,00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3.760,00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38,37%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9.800,00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9.800,00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3.760,00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38,37%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na 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9.554,93</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36,06%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zdravstveno osiguranje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23.500,00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23.500,00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8.524,87</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36,28%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zapošljavanje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1.030,06</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34,34%</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zaposlenima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7.958,00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28,42%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Službena putovanja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935,00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31,17%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za prijevoz, za rad na terenu i odvojeni život</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7.023,00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31,92%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Stručno usavršavanje zaposlenika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16.055,54</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28,93%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Uredski materijal i ostali materijalni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4.351,37</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45,80%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Materijal i sirovine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2.955,00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36,94%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Energija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7.563,48</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29,09%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Mat. i dijelovi za tekuće i investicijsko održavanje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1.065,69</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15,22%</w:t>
            </w:r>
          </w:p>
        </w:tc>
      </w:tr>
      <w:tr>
        <w:trPr>
          <w:trHeight w:val="295" w:hRule="atLeast"/>
        </w:trPr>
        <w:tc>
          <w:tcPr>
            <w:tcW w:w="734" w:type="dxa"/>
            <w:tcBorders>
              <w:top w:val="single" w:sz="8" w:space="0" w:color="000000"/>
              <w:left w:val="nil"/>
              <w:right w:val="single" w:sz="2" w:space="0" w:color="000000"/>
            </w:tcBorders>
          </w:tcPr>
          <w:p>
            <w:pPr>
              <w:pStyle w:val="TableParagraph"/>
              <w:ind w:right="5"/>
              <w:rPr>
                <w:sz w:val="16"/>
              </w:rPr>
            </w:pPr>
            <w:r>
              <w:rPr>
                <w:sz w:val="16"/>
              </w:rPr>
              <w:t>3225</w:t>
            </w:r>
          </w:p>
        </w:tc>
        <w:tc>
          <w:tcPr>
            <w:tcW w:w="402" w:type="dxa"/>
            <w:tcBorders>
              <w:top w:val="single" w:sz="8" w:space="0" w:color="000000"/>
              <w:left w:val="single" w:sz="2"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right w:val="single" w:sz="2" w:space="0" w:color="000000"/>
            </w:tcBorders>
          </w:tcPr>
          <w:p>
            <w:pPr>
              <w:pStyle w:val="TableParagraph"/>
              <w:ind w:left="89"/>
              <w:jc w:val="left"/>
              <w:rPr>
                <w:sz w:val="16"/>
              </w:rPr>
            </w:pPr>
            <w:r>
              <w:rPr>
                <w:sz w:val="16"/>
              </w:rPr>
              <w:t>Sitni inventar i auto gume</w:t>
            </w:r>
          </w:p>
        </w:tc>
        <w:tc>
          <w:tcPr>
            <w:tcW w:w="1833" w:type="dxa"/>
            <w:tcBorders>
              <w:top w:val="single" w:sz="8" w:space="0" w:color="000000"/>
              <w:left w:val="single" w:sz="2" w:space="0" w:color="000000"/>
              <w:right w:val="single" w:sz="2" w:space="0" w:color="000000"/>
            </w:tcBorders>
          </w:tcPr>
          <w:p>
            <w:pPr>
              <w:pStyle w:val="TableParagraph"/>
              <w:ind w:right="53"/>
              <w:rPr>
                <w:sz w:val="16"/>
              </w:rPr>
            </w:pPr>
            <w:r>
              <w:rPr>
                <w:sz w:val="16"/>
              </w:rPr>
              <w:t>5.000,00</w:t>
            </w:r>
          </w:p>
        </w:tc>
        <w:tc>
          <w:tcPr>
            <w:tcW w:w="1831" w:type="dxa"/>
            <w:tcBorders>
              <w:top w:val="single" w:sz="8" w:space="0" w:color="000000"/>
              <w:left w:val="single" w:sz="2" w:space="0" w:color="000000"/>
              <w:right w:val="single" w:sz="2" w:space="0" w:color="000000"/>
            </w:tcBorders>
          </w:tcPr>
          <w:p>
            <w:pPr>
              <w:pStyle w:val="TableParagraph"/>
              <w:ind w:right="55"/>
              <w:rPr>
                <w:sz w:val="16"/>
              </w:rPr>
            </w:pPr>
            <w:r>
              <w:rPr>
                <w:sz w:val="16"/>
              </w:rPr>
              <w:t>5.000,00</w:t>
            </w:r>
          </w:p>
        </w:tc>
        <w:tc>
          <w:tcPr>
            <w:tcW w:w="1831" w:type="dxa"/>
            <w:tcBorders>
              <w:top w:val="single" w:sz="8" w:space="0" w:color="000000"/>
              <w:left w:val="single" w:sz="2" w:space="0" w:color="000000"/>
              <w:right w:val="single" w:sz="2" w:space="0" w:color="000000"/>
            </w:tcBorders>
          </w:tcPr>
          <w:p>
            <w:pPr>
              <w:pStyle w:val="TableParagraph"/>
              <w:ind w:right="60"/>
              <w:rPr>
                <w:sz w:val="16"/>
              </w:rPr>
            </w:pPr>
            <w:r>
              <w:rPr>
                <w:sz w:val="16"/>
              </w:rPr>
              <w:t>120,00</w:t>
            </w:r>
          </w:p>
        </w:tc>
        <w:tc>
          <w:tcPr>
            <w:tcW w:w="1105" w:type="dxa"/>
            <w:tcBorders>
              <w:top w:val="single" w:sz="8" w:space="0" w:color="000000"/>
              <w:left w:val="single" w:sz="2" w:space="0" w:color="000000"/>
              <w:right w:val="nil"/>
            </w:tcBorders>
          </w:tcPr>
          <w:p>
            <w:pPr>
              <w:pStyle w:val="TableParagraph"/>
              <w:ind w:right="51"/>
              <w:rPr>
                <w:sz w:val="16"/>
              </w:rPr>
            </w:pPr>
            <w:r>
              <w:rPr>
                <w:sz w:val="16"/>
              </w:rPr>
              <w:t>2,40%</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5"/>
      </w:tblGrid>
      <w:tr>
        <w:trPr>
          <w:trHeight w:val="828" w:hRule="atLeast"/>
        </w:trPr>
        <w:tc>
          <w:tcPr>
            <w:tcW w:w="15514" w:type="dxa"/>
            <w:gridSpan w:val="7"/>
            <w:tcBorders>
              <w:left w:val="nil"/>
              <w:bottom w:val="single" w:sz="8" w:space="0" w:color="000000"/>
              <w:right w:val="nil"/>
            </w:tcBorders>
            <w:shd w:val="clear" w:color="auto" w:fill="C0C0C0"/>
          </w:tcPr>
          <w:p>
            <w:pPr>
              <w:pStyle w:val="TableParagraph"/>
              <w:spacing w:before="56"/>
              <w:ind w:left="1439" w:right="1456"/>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70"/>
              <w:jc w:val="center"/>
              <w:rPr>
                <w:rFonts w:ascii="Times New Roman"/>
                <w:sz w:val="22"/>
              </w:rPr>
            </w:pPr>
            <w:r>
              <w:rPr>
                <w:rFonts w:ascii="Times New Roman"/>
                <w:sz w:val="22"/>
              </w:rPr>
              <w:t>POSEBNI DIO - EKONOMSKA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7" w:hanging="5"/>
              <w:jc w:val="center"/>
              <w:rPr>
                <w:sz w:val="20"/>
              </w:rPr>
            </w:pPr>
            <w:r>
              <w:rPr>
                <w:sz w:val="20"/>
              </w:rPr>
              <w:t>Račun/ </w:t>
            </w:r>
            <w:r>
              <w:rPr>
                <w:w w:val="95"/>
                <w:sz w:val="20"/>
              </w:rPr>
              <w:t>Pozicija</w:t>
            </w:r>
          </w:p>
          <w:p>
            <w:pPr>
              <w:pStyle w:val="TableParagraph"/>
              <w:spacing w:before="84"/>
              <w:ind w:left="172"/>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6"/>
              <w:jc w:val="center"/>
              <w:rPr>
                <w:sz w:val="20"/>
              </w:rPr>
            </w:pPr>
            <w:r>
              <w:rPr>
                <w:sz w:val="20"/>
              </w:rPr>
              <w:t>Opis</w:t>
            </w:r>
          </w:p>
          <w:p>
            <w:pPr>
              <w:pStyle w:val="TableParagraph"/>
              <w:spacing w:before="4"/>
              <w:jc w:val="left"/>
              <w:rPr>
                <w:rFonts w:ascii="Times New Roman"/>
                <w:sz w:val="28"/>
              </w:rPr>
            </w:pPr>
          </w:p>
          <w:p>
            <w:pPr>
              <w:pStyle w:val="TableParagraph"/>
              <w:spacing w:before="0"/>
              <w:ind w:left="6"/>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2" w:right="138"/>
              <w:jc w:val="center"/>
              <w:rPr>
                <w:sz w:val="20"/>
              </w:rPr>
            </w:pPr>
            <w:r>
              <w:rPr>
                <w:sz w:val="20"/>
              </w:rPr>
              <w:t>Izvorni plan za 2014. godinu</w:t>
            </w:r>
          </w:p>
          <w:p>
            <w:pPr>
              <w:pStyle w:val="TableParagraph"/>
              <w:spacing w:before="89"/>
              <w:ind w:left="3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1"/>
              <w:jc w:val="center"/>
              <w:rPr>
                <w:sz w:val="20"/>
              </w:rPr>
            </w:pPr>
            <w:r>
              <w:rPr>
                <w:sz w:val="20"/>
              </w:rPr>
              <w:t>Tekući plan za 2014. godinu</w:t>
            </w:r>
          </w:p>
          <w:p>
            <w:pPr>
              <w:pStyle w:val="TableParagraph"/>
              <w:spacing w:before="89"/>
              <w:ind w:left="27"/>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7"/>
              <w:jc w:val="center"/>
              <w:rPr>
                <w:sz w:val="20"/>
              </w:rPr>
            </w:pPr>
            <w:r>
              <w:rPr>
                <w:sz w:val="20"/>
              </w:rPr>
              <w:t>Izvršenje 01.01.-</w:t>
            </w:r>
          </w:p>
          <w:p>
            <w:pPr>
              <w:pStyle w:val="TableParagraph"/>
              <w:spacing w:line="241" w:lineRule="exact" w:before="0"/>
              <w:ind w:left="147" w:right="124"/>
              <w:jc w:val="center"/>
              <w:rPr>
                <w:sz w:val="20"/>
              </w:rPr>
            </w:pPr>
            <w:r>
              <w:rPr>
                <w:sz w:val="20"/>
              </w:rPr>
              <w:t>30.06.2014.</w:t>
            </w:r>
          </w:p>
          <w:p>
            <w:pPr>
              <w:pStyle w:val="TableParagraph"/>
              <w:spacing w:before="90"/>
              <w:ind w:left="22"/>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28"/>
              <w:jc w:val="center"/>
              <w:rPr>
                <w:sz w:val="20"/>
              </w:rPr>
            </w:pPr>
            <w:r>
              <w:rPr>
                <w:w w:val="95"/>
                <w:sz w:val="20"/>
              </w:rPr>
              <w:t>Indeks </w:t>
            </w:r>
            <w:r>
              <w:rPr>
                <w:sz w:val="20"/>
              </w:rPr>
              <w:t>5/4</w:t>
            </w:r>
          </w:p>
          <w:p>
            <w:pPr>
              <w:pStyle w:val="TableParagraph"/>
              <w:spacing w:before="89"/>
              <w:ind w:left="36"/>
              <w:jc w:val="center"/>
              <w:rPr>
                <w:sz w:val="18"/>
              </w:rPr>
            </w:pPr>
            <w:r>
              <w:rPr>
                <w:w w:val="100"/>
                <w:sz w:val="18"/>
              </w:rPr>
              <w:t>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169.500,00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169.500,00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28.198,38</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16,64%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telefona, pošte i prijevoza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3.015,03</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43,70%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12.322,25</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60,11%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2.029,25</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27,06%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66.100,00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66.100,00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8.831,85</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13,36%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68.500,00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68.500,00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2,92%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11.700,00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11.700,00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5.330,42</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45,56%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11.700,00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11.700,00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5.330,42</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45,56%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2.041,45</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20,41%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Premije osiguranja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Reprezentacija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2.041,45</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68,05%</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176.500,00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176.500,00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61.085,63</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34,61%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Poslovni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61.085,63</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67,13%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85.500,00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10.000,00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10,53%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Uredska oprema i namještaj</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Oprema za održavanje i zaštitu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Uređaji, strojevi i oprema za ostale namjene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10.000,00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66,67%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Knjige, umjetnička djela i ostale izložbene vrijednosti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98.500,00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98.500,00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4242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Umjetnička djela (izložena u galerijama, muzejima i slično)</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4243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Muzejski izlošci i predmeti prirodnih rijetkosti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43.500,00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43.500,00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505" w:hRule="atLeast"/>
        </w:trPr>
        <w:tc>
          <w:tcPr>
            <w:tcW w:w="1136" w:type="dxa"/>
            <w:gridSpan w:val="2"/>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right="-15"/>
              <w:jc w:val="left"/>
              <w:rPr>
                <w:rFonts w:ascii="Verdana"/>
                <w:sz w:val="16"/>
              </w:rPr>
            </w:pPr>
            <w:r>
              <w:rPr>
                <w:rFonts w:ascii="Verdana"/>
                <w:sz w:val="16"/>
              </w:rPr>
              <w:t>00205</w:t>
            </w:r>
          </w:p>
        </w:tc>
        <w:tc>
          <w:tcPr>
            <w:tcW w:w="7778"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81"/>
              <w:jc w:val="left"/>
              <w:rPr>
                <w:rFonts w:ascii="Verdana" w:hAnsi="Verdana"/>
                <w:sz w:val="20"/>
              </w:rPr>
            </w:pPr>
            <w:r>
              <w:rPr>
                <w:rFonts w:ascii="Verdana" w:hAnsi="Verdana"/>
                <w:sz w:val="20"/>
              </w:rPr>
              <w:t>PRORAČUNSKI KORISNIK: 27484-DJEČJI VRTIĆ I JASLICE ZVONČIĆ</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0"/>
              <w:rPr>
                <w:rFonts w:ascii="Verdana"/>
                <w:sz w:val="20"/>
              </w:rPr>
            </w:pPr>
            <w:r>
              <w:rPr>
                <w:rFonts w:ascii="Verdana"/>
                <w:sz w:val="20"/>
              </w:rPr>
              <w:t>2.840.000,00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2"/>
              <w:rPr>
                <w:rFonts w:ascii="Verdana"/>
                <w:sz w:val="20"/>
              </w:rPr>
            </w:pPr>
            <w:r>
              <w:rPr>
                <w:rFonts w:ascii="Verdana"/>
                <w:sz w:val="20"/>
              </w:rPr>
              <w:t>2.840.000,00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6"/>
              <w:rPr>
                <w:rFonts w:ascii="Verdana"/>
                <w:sz w:val="20"/>
              </w:rPr>
            </w:pPr>
            <w:r>
              <w:rPr>
                <w:rFonts w:ascii="Verdana"/>
                <w:sz w:val="20"/>
              </w:rPr>
              <w:t>1.408.689,74</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58"/>
              <w:rPr>
                <w:rFonts w:ascii="Verdana"/>
                <w:sz w:val="20"/>
              </w:rPr>
            </w:pPr>
            <w:r>
              <w:rPr>
                <w:rFonts w:ascii="Verdana"/>
                <w:sz w:val="20"/>
              </w:rPr>
              <w:t>49,60%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1.573.000,00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770.304,57</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48,97%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 za redovan rad</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1.573.000,00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770.304,57</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48,97%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14.435,15</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21,23%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14.435,15</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21,23%</w:t>
            </w:r>
          </w:p>
        </w:tc>
      </w:tr>
      <w:tr>
        <w:trPr>
          <w:trHeight w:val="295" w:hRule="atLeast"/>
        </w:trPr>
        <w:tc>
          <w:tcPr>
            <w:tcW w:w="734" w:type="dxa"/>
            <w:tcBorders>
              <w:top w:val="single" w:sz="8" w:space="0" w:color="000000"/>
              <w:left w:val="nil"/>
              <w:right w:val="single" w:sz="2" w:space="0" w:color="000000"/>
            </w:tcBorders>
          </w:tcPr>
          <w:p>
            <w:pPr>
              <w:pStyle w:val="TableParagraph"/>
              <w:ind w:right="5"/>
              <w:rPr>
                <w:sz w:val="16"/>
              </w:rPr>
            </w:pPr>
            <w:r>
              <w:rPr>
                <w:sz w:val="16"/>
              </w:rPr>
              <w:t>313</w:t>
            </w:r>
          </w:p>
        </w:tc>
        <w:tc>
          <w:tcPr>
            <w:tcW w:w="402" w:type="dxa"/>
            <w:tcBorders>
              <w:top w:val="single" w:sz="8" w:space="0" w:color="000000"/>
              <w:left w:val="single" w:sz="2"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right w:val="single" w:sz="2" w:space="0" w:color="000000"/>
            </w:tcBorders>
          </w:tcPr>
          <w:p>
            <w:pPr>
              <w:pStyle w:val="TableParagraph"/>
              <w:ind w:left="89"/>
              <w:jc w:val="left"/>
              <w:rPr>
                <w:sz w:val="16"/>
              </w:rPr>
            </w:pPr>
            <w:r>
              <w:rPr>
                <w:sz w:val="16"/>
              </w:rPr>
              <w:t>Doprinosi na plaće</w:t>
            </w:r>
          </w:p>
        </w:tc>
        <w:tc>
          <w:tcPr>
            <w:tcW w:w="1833" w:type="dxa"/>
            <w:tcBorders>
              <w:top w:val="single" w:sz="8" w:space="0" w:color="000000"/>
              <w:left w:val="single" w:sz="2" w:space="0" w:color="000000"/>
              <w:right w:val="single" w:sz="2" w:space="0" w:color="000000"/>
            </w:tcBorders>
          </w:tcPr>
          <w:p>
            <w:pPr>
              <w:pStyle w:val="TableParagraph"/>
              <w:ind w:right="51"/>
              <w:rPr>
                <w:sz w:val="16"/>
              </w:rPr>
            </w:pPr>
            <w:r>
              <w:rPr>
                <w:sz w:val="16"/>
              </w:rPr>
              <w:t>231.000,00</w:t>
            </w:r>
          </w:p>
        </w:tc>
        <w:tc>
          <w:tcPr>
            <w:tcW w:w="1831" w:type="dxa"/>
            <w:tcBorders>
              <w:top w:val="single" w:sz="8" w:space="0" w:color="000000"/>
              <w:left w:val="single" w:sz="2" w:space="0" w:color="000000"/>
              <w:right w:val="single" w:sz="2" w:space="0" w:color="000000"/>
            </w:tcBorders>
          </w:tcPr>
          <w:p>
            <w:pPr>
              <w:pStyle w:val="TableParagraph"/>
              <w:ind w:right="55"/>
              <w:rPr>
                <w:sz w:val="16"/>
              </w:rPr>
            </w:pPr>
            <w:r>
              <w:rPr>
                <w:sz w:val="16"/>
              </w:rPr>
              <w:t>231.000,00</w:t>
            </w:r>
          </w:p>
        </w:tc>
        <w:tc>
          <w:tcPr>
            <w:tcW w:w="1831" w:type="dxa"/>
            <w:tcBorders>
              <w:top w:val="single" w:sz="8" w:space="0" w:color="000000"/>
              <w:left w:val="single" w:sz="2" w:space="0" w:color="000000"/>
              <w:right w:val="single" w:sz="2" w:space="0" w:color="000000"/>
            </w:tcBorders>
          </w:tcPr>
          <w:p>
            <w:pPr>
              <w:pStyle w:val="TableParagraph"/>
              <w:ind w:right="57"/>
              <w:rPr>
                <w:sz w:val="16"/>
              </w:rPr>
            </w:pPr>
            <w:r>
              <w:rPr>
                <w:sz w:val="16"/>
              </w:rPr>
              <w:t>124.663,83</w:t>
            </w:r>
          </w:p>
        </w:tc>
        <w:tc>
          <w:tcPr>
            <w:tcW w:w="1105" w:type="dxa"/>
            <w:tcBorders>
              <w:top w:val="single" w:sz="8" w:space="0" w:color="000000"/>
              <w:left w:val="single" w:sz="2" w:space="0" w:color="000000"/>
              <w:right w:val="nil"/>
            </w:tcBorders>
          </w:tcPr>
          <w:p>
            <w:pPr>
              <w:pStyle w:val="TableParagraph"/>
              <w:ind w:right="51"/>
              <w:rPr>
                <w:sz w:val="16"/>
              </w:rPr>
            </w:pPr>
            <w:r>
              <w:rPr>
                <w:sz w:val="16"/>
              </w:rPr>
              <w:t>53,97%</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3"/>
      </w:tblGrid>
      <w:tr>
        <w:trPr>
          <w:trHeight w:val="828" w:hRule="atLeast"/>
        </w:trPr>
        <w:tc>
          <w:tcPr>
            <w:tcW w:w="15512" w:type="dxa"/>
            <w:gridSpan w:val="7"/>
            <w:tcBorders>
              <w:left w:val="nil"/>
              <w:bottom w:val="single" w:sz="8" w:space="0" w:color="000000"/>
              <w:right w:val="nil"/>
            </w:tcBorders>
            <w:shd w:val="clear" w:color="auto" w:fill="C0C0C0"/>
          </w:tcPr>
          <w:p>
            <w:pPr>
              <w:pStyle w:val="TableParagraph"/>
              <w:spacing w:before="56"/>
              <w:ind w:left="1443" w:right="1458"/>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68"/>
              <w:jc w:val="center"/>
              <w:rPr>
                <w:rFonts w:ascii="Times New Roman"/>
                <w:sz w:val="22"/>
              </w:rPr>
            </w:pPr>
            <w:r>
              <w:rPr>
                <w:rFonts w:ascii="Times New Roman"/>
                <w:sz w:val="22"/>
              </w:rPr>
              <w:t>POSEBNI DIO - EKONOMSKA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7" w:hanging="5"/>
              <w:jc w:val="center"/>
              <w:rPr>
                <w:sz w:val="20"/>
              </w:rPr>
            </w:pPr>
            <w:r>
              <w:rPr>
                <w:sz w:val="20"/>
              </w:rPr>
              <w:t>Račun/ </w:t>
            </w:r>
            <w:r>
              <w:rPr>
                <w:w w:val="95"/>
                <w:sz w:val="20"/>
              </w:rPr>
              <w:t>Pozicija</w:t>
            </w:r>
          </w:p>
          <w:p>
            <w:pPr>
              <w:pStyle w:val="TableParagraph"/>
              <w:spacing w:before="84"/>
              <w:ind w:left="172"/>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6"/>
              <w:jc w:val="center"/>
              <w:rPr>
                <w:sz w:val="20"/>
              </w:rPr>
            </w:pPr>
            <w:r>
              <w:rPr>
                <w:sz w:val="20"/>
              </w:rPr>
              <w:t>Opis</w:t>
            </w:r>
          </w:p>
          <w:p>
            <w:pPr>
              <w:pStyle w:val="TableParagraph"/>
              <w:spacing w:before="4"/>
              <w:jc w:val="left"/>
              <w:rPr>
                <w:rFonts w:ascii="Times New Roman"/>
                <w:sz w:val="28"/>
              </w:rPr>
            </w:pPr>
          </w:p>
          <w:p>
            <w:pPr>
              <w:pStyle w:val="TableParagraph"/>
              <w:spacing w:before="0"/>
              <w:ind w:left="6"/>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2" w:right="138"/>
              <w:jc w:val="center"/>
              <w:rPr>
                <w:sz w:val="20"/>
              </w:rPr>
            </w:pPr>
            <w:r>
              <w:rPr>
                <w:sz w:val="20"/>
              </w:rPr>
              <w:t>Izvorni plan za 2014. godinu</w:t>
            </w:r>
          </w:p>
          <w:p>
            <w:pPr>
              <w:pStyle w:val="TableParagraph"/>
              <w:spacing w:before="89"/>
              <w:ind w:left="3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1"/>
              <w:jc w:val="center"/>
              <w:rPr>
                <w:sz w:val="20"/>
              </w:rPr>
            </w:pPr>
            <w:r>
              <w:rPr>
                <w:sz w:val="20"/>
              </w:rPr>
              <w:t>Tekući plan za 2014. godinu</w:t>
            </w:r>
          </w:p>
          <w:p>
            <w:pPr>
              <w:pStyle w:val="TableParagraph"/>
              <w:spacing w:before="89"/>
              <w:ind w:left="27"/>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7"/>
              <w:jc w:val="center"/>
              <w:rPr>
                <w:sz w:val="20"/>
              </w:rPr>
            </w:pPr>
            <w:r>
              <w:rPr>
                <w:sz w:val="20"/>
              </w:rPr>
              <w:t>Izvršenje 01.01.-</w:t>
            </w:r>
          </w:p>
          <w:p>
            <w:pPr>
              <w:pStyle w:val="TableParagraph"/>
              <w:spacing w:line="241" w:lineRule="exact" w:before="0"/>
              <w:ind w:left="147" w:right="124"/>
              <w:jc w:val="center"/>
              <w:rPr>
                <w:sz w:val="20"/>
              </w:rPr>
            </w:pPr>
            <w:r>
              <w:rPr>
                <w:sz w:val="20"/>
              </w:rPr>
              <w:t>30.06.2014.</w:t>
            </w:r>
          </w:p>
          <w:p>
            <w:pPr>
              <w:pStyle w:val="TableParagraph"/>
              <w:spacing w:before="90"/>
              <w:ind w:left="22"/>
              <w:jc w:val="center"/>
              <w:rPr>
                <w:sz w:val="18"/>
              </w:rPr>
            </w:pPr>
            <w:r>
              <w:rPr>
                <w:w w:val="100"/>
                <w:sz w:val="18"/>
              </w:rPr>
              <w:t>5</w:t>
            </w:r>
          </w:p>
        </w:tc>
        <w:tc>
          <w:tcPr>
            <w:tcW w:w="1103"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72" w:right="237"/>
              <w:jc w:val="center"/>
              <w:rPr>
                <w:sz w:val="20"/>
              </w:rPr>
            </w:pPr>
            <w:r>
              <w:rPr>
                <w:w w:val="95"/>
                <w:sz w:val="20"/>
              </w:rPr>
              <w:t>Indeks </w:t>
            </w:r>
            <w:r>
              <w:rPr>
                <w:sz w:val="20"/>
              </w:rPr>
              <w:t>5/4</w:t>
            </w:r>
          </w:p>
          <w:p>
            <w:pPr>
              <w:pStyle w:val="TableParagraph"/>
              <w:spacing w:before="89"/>
              <w:ind w:left="38"/>
              <w:jc w:val="center"/>
              <w:rPr>
                <w:sz w:val="18"/>
              </w:rPr>
            </w:pPr>
            <w:r>
              <w:rPr>
                <w:w w:val="100"/>
                <w:sz w:val="18"/>
              </w:rPr>
              <w:t>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zdravstveno osiguranje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111.568,69</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54,69%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zapošljavanje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13.095,14</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48,50%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zaposlenima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79.091,00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60,84%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Službena putovanja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2.048,00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29,26%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za prijevoz, za rad na terenu i odvojeni život</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75.043,00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65,25%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Stručno usavršavanje zaposlenika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2.000,00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25,00%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502.000,00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502.000,00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289.883,06</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57,75%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Uredski materijal i ostali materijalni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36.657,99</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47,61%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Materijal i sirovine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290.000,00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290.000,00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178.169,89</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61,44%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Energija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66.434,26</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53,15%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3225</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Sitni inventar i auto gume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1.371,22</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54,85%</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Službena, radna i zaštitna odjeća i obuća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7.249,70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96,66%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45.747,62</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26,91%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telefona, pošte i prijevoza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2.708,34</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18,06%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13.126,70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21,88%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promidžbe i informiranja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11.723,70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37,82%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3236</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Zdravstvene i veterinarske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4.442,63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17,09%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3238</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Računalne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3.436,25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42,95%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10.310,00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49,10%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20.688,03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76,62%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20.688,03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76,62%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19.356,48</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36,52%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za rad predstavničkih i izvršnih tijela, povjerenstava i slično</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3.159,62</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19,75%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Premije osiguranja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3.084,88</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30,85%</w:t>
            </w:r>
          </w:p>
        </w:tc>
      </w:tr>
      <w:tr>
        <w:trPr>
          <w:trHeight w:val="280" w:hRule="atLeast"/>
        </w:trPr>
        <w:tc>
          <w:tcPr>
            <w:tcW w:w="734" w:type="dxa"/>
            <w:tcBorders>
              <w:top w:val="single" w:sz="8" w:space="0" w:color="000000"/>
              <w:left w:val="nil"/>
              <w:bottom w:val="nil"/>
              <w:right w:val="single" w:sz="2" w:space="0" w:color="000000"/>
            </w:tcBorders>
          </w:tcPr>
          <w:p>
            <w:pPr>
              <w:pStyle w:val="TableParagraph"/>
              <w:ind w:right="5"/>
              <w:rPr>
                <w:sz w:val="16"/>
              </w:rPr>
            </w:pPr>
            <w:r>
              <w:rPr>
                <w:sz w:val="16"/>
              </w:rPr>
              <w:t>3293</w:t>
            </w:r>
          </w:p>
        </w:tc>
        <w:tc>
          <w:tcPr>
            <w:tcW w:w="402"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9"/>
              <w:jc w:val="left"/>
              <w:rPr>
                <w:sz w:val="16"/>
              </w:rPr>
            </w:pPr>
            <w:r>
              <w:rPr>
                <w:sz w:val="16"/>
              </w:rPr>
              <w:t>Reprezentacija</w:t>
            </w:r>
          </w:p>
        </w:tc>
        <w:tc>
          <w:tcPr>
            <w:tcW w:w="1833" w:type="dxa"/>
            <w:tcBorders>
              <w:top w:val="single" w:sz="8" w:space="0" w:color="000000"/>
              <w:left w:val="single" w:sz="2" w:space="0" w:color="000000"/>
              <w:bottom w:val="nil"/>
              <w:right w:val="single" w:sz="2" w:space="0" w:color="000000"/>
            </w:tcBorders>
          </w:tcPr>
          <w:p>
            <w:pPr>
              <w:pStyle w:val="TableParagraph"/>
              <w:ind w:right="53"/>
              <w:rPr>
                <w:sz w:val="16"/>
              </w:rPr>
            </w:pPr>
            <w:r>
              <w:rPr>
                <w:sz w:val="16"/>
              </w:rPr>
              <w:t>2.000,00</w:t>
            </w:r>
          </w:p>
        </w:tc>
        <w:tc>
          <w:tcPr>
            <w:tcW w:w="1831" w:type="dxa"/>
            <w:tcBorders>
              <w:top w:val="single" w:sz="8" w:space="0" w:color="000000"/>
              <w:left w:val="single" w:sz="2" w:space="0" w:color="000000"/>
              <w:bottom w:val="nil"/>
              <w:right w:val="single" w:sz="2" w:space="0" w:color="000000"/>
            </w:tcBorders>
          </w:tcPr>
          <w:p>
            <w:pPr>
              <w:pStyle w:val="TableParagraph"/>
              <w:ind w:right="55"/>
              <w:rPr>
                <w:sz w:val="16"/>
              </w:rPr>
            </w:pPr>
            <w:r>
              <w:rPr>
                <w:sz w:val="16"/>
              </w:rPr>
              <w:t>2.000,00</w:t>
            </w:r>
          </w:p>
        </w:tc>
        <w:tc>
          <w:tcPr>
            <w:tcW w:w="1831" w:type="dxa"/>
            <w:tcBorders>
              <w:top w:val="single" w:sz="8" w:space="0" w:color="000000"/>
              <w:left w:val="single" w:sz="2" w:space="0" w:color="000000"/>
              <w:bottom w:val="nil"/>
              <w:right w:val="single" w:sz="2" w:space="0" w:color="000000"/>
            </w:tcBorders>
          </w:tcPr>
          <w:p>
            <w:pPr>
              <w:pStyle w:val="TableParagraph"/>
              <w:ind w:right="60"/>
              <w:rPr>
                <w:sz w:val="16"/>
              </w:rPr>
            </w:pPr>
            <w:r>
              <w:rPr>
                <w:sz w:val="16"/>
              </w:rPr>
              <w:t>675,00</w:t>
            </w:r>
          </w:p>
        </w:tc>
        <w:tc>
          <w:tcPr>
            <w:tcW w:w="1103" w:type="dxa"/>
            <w:tcBorders>
              <w:top w:val="single" w:sz="8" w:space="0" w:color="000000"/>
              <w:left w:val="single" w:sz="2" w:space="0" w:color="000000"/>
              <w:bottom w:val="nil"/>
              <w:right w:val="nil"/>
            </w:tcBorders>
          </w:tcPr>
          <w:p>
            <w:pPr>
              <w:pStyle w:val="TableParagraph"/>
              <w:ind w:right="49"/>
              <w:rPr>
                <w:sz w:val="16"/>
              </w:rPr>
            </w:pPr>
            <w:r>
              <w:rPr>
                <w:sz w:val="16"/>
              </w:rPr>
              <w:t>33,75%</w:t>
            </w:r>
          </w:p>
        </w:tc>
      </w:tr>
    </w:tbl>
    <w:p>
      <w:pPr>
        <w:pStyle w:val="BodyText"/>
        <w:spacing w:before="1"/>
        <w:rPr>
          <w:sz w:val="19"/>
        </w:rPr>
      </w:pPr>
      <w:r>
        <w:rPr/>
        <w:pict>
          <v:rect style="position:absolute;margin-left:42.590637pt;margin-top:12.940083pt;width:775.679983pt;height:.6pt;mso-position-horizontal-relative:page;mso-position-vertical-relative:paragraph;z-index:-15726592;mso-wrap-distance-left:0;mso-wrap-distance-right:0" filled="true" fillcolor="#000000" stroked="false">
            <v:fill type="solid"/>
            <w10:wrap type="topAndBottom"/>
          </v:rect>
        </w:pict>
      </w:r>
    </w:p>
    <w:p>
      <w:pPr>
        <w:spacing w:after="0"/>
        <w:rPr>
          <w:sz w:val="19"/>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5"/>
      </w:tblGrid>
      <w:tr>
        <w:trPr>
          <w:trHeight w:val="828" w:hRule="atLeast"/>
        </w:trPr>
        <w:tc>
          <w:tcPr>
            <w:tcW w:w="15514" w:type="dxa"/>
            <w:gridSpan w:val="7"/>
            <w:tcBorders>
              <w:left w:val="nil"/>
              <w:bottom w:val="single" w:sz="8" w:space="0" w:color="000000"/>
              <w:right w:val="nil"/>
            </w:tcBorders>
            <w:shd w:val="clear" w:color="auto" w:fill="C0C0C0"/>
          </w:tcPr>
          <w:p>
            <w:pPr>
              <w:pStyle w:val="TableParagraph"/>
              <w:spacing w:before="56"/>
              <w:ind w:left="1439" w:right="1456"/>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70"/>
              <w:jc w:val="center"/>
              <w:rPr>
                <w:rFonts w:ascii="Times New Roman"/>
                <w:sz w:val="22"/>
              </w:rPr>
            </w:pPr>
            <w:r>
              <w:rPr>
                <w:rFonts w:ascii="Times New Roman"/>
                <w:sz w:val="22"/>
              </w:rPr>
              <w:t>POSEBNI DIO - EKONOMSKA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7" w:hanging="5"/>
              <w:jc w:val="center"/>
              <w:rPr>
                <w:sz w:val="20"/>
              </w:rPr>
            </w:pPr>
            <w:r>
              <w:rPr>
                <w:sz w:val="20"/>
              </w:rPr>
              <w:t>Račun/ </w:t>
            </w:r>
            <w:r>
              <w:rPr>
                <w:w w:val="95"/>
                <w:sz w:val="20"/>
              </w:rPr>
              <w:t>Pozicija</w:t>
            </w:r>
          </w:p>
          <w:p>
            <w:pPr>
              <w:pStyle w:val="TableParagraph"/>
              <w:spacing w:before="84"/>
              <w:ind w:left="172"/>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6"/>
              <w:jc w:val="center"/>
              <w:rPr>
                <w:sz w:val="20"/>
              </w:rPr>
            </w:pPr>
            <w:r>
              <w:rPr>
                <w:sz w:val="20"/>
              </w:rPr>
              <w:t>Opis</w:t>
            </w:r>
          </w:p>
          <w:p>
            <w:pPr>
              <w:pStyle w:val="TableParagraph"/>
              <w:spacing w:before="4"/>
              <w:jc w:val="left"/>
              <w:rPr>
                <w:rFonts w:ascii="Times New Roman"/>
                <w:sz w:val="28"/>
              </w:rPr>
            </w:pPr>
          </w:p>
          <w:p>
            <w:pPr>
              <w:pStyle w:val="TableParagraph"/>
              <w:spacing w:before="0"/>
              <w:ind w:left="6"/>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2" w:right="138"/>
              <w:jc w:val="center"/>
              <w:rPr>
                <w:sz w:val="20"/>
              </w:rPr>
            </w:pPr>
            <w:r>
              <w:rPr>
                <w:sz w:val="20"/>
              </w:rPr>
              <w:t>Izvorni plan za 2014. godinu</w:t>
            </w:r>
          </w:p>
          <w:p>
            <w:pPr>
              <w:pStyle w:val="TableParagraph"/>
              <w:spacing w:before="89"/>
              <w:ind w:left="3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1"/>
              <w:jc w:val="center"/>
              <w:rPr>
                <w:sz w:val="20"/>
              </w:rPr>
            </w:pPr>
            <w:r>
              <w:rPr>
                <w:sz w:val="20"/>
              </w:rPr>
              <w:t>Tekući plan za 2014. godinu</w:t>
            </w:r>
          </w:p>
          <w:p>
            <w:pPr>
              <w:pStyle w:val="TableParagraph"/>
              <w:spacing w:before="89"/>
              <w:ind w:left="27"/>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7"/>
              <w:jc w:val="center"/>
              <w:rPr>
                <w:sz w:val="20"/>
              </w:rPr>
            </w:pPr>
            <w:r>
              <w:rPr>
                <w:sz w:val="20"/>
              </w:rPr>
              <w:t>Izvršenje 01.01.-</w:t>
            </w:r>
          </w:p>
          <w:p>
            <w:pPr>
              <w:pStyle w:val="TableParagraph"/>
              <w:spacing w:line="241" w:lineRule="exact" w:before="0"/>
              <w:ind w:left="147" w:right="124"/>
              <w:jc w:val="center"/>
              <w:rPr>
                <w:sz w:val="20"/>
              </w:rPr>
            </w:pPr>
            <w:r>
              <w:rPr>
                <w:sz w:val="20"/>
              </w:rPr>
              <w:t>30.06.2014.</w:t>
            </w:r>
          </w:p>
          <w:p>
            <w:pPr>
              <w:pStyle w:val="TableParagraph"/>
              <w:spacing w:before="90"/>
              <w:ind w:left="22"/>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28"/>
              <w:jc w:val="center"/>
              <w:rPr>
                <w:sz w:val="20"/>
              </w:rPr>
            </w:pPr>
            <w:r>
              <w:rPr>
                <w:w w:val="95"/>
                <w:sz w:val="20"/>
              </w:rPr>
              <w:t>Indeks </w:t>
            </w:r>
            <w:r>
              <w:rPr>
                <w:sz w:val="20"/>
              </w:rPr>
              <w:t>5/4</w:t>
            </w:r>
          </w:p>
          <w:p>
            <w:pPr>
              <w:pStyle w:val="TableParagraph"/>
              <w:spacing w:before="89"/>
              <w:ind w:left="36"/>
              <w:jc w:val="center"/>
              <w:rPr>
                <w:sz w:val="18"/>
              </w:rPr>
            </w:pPr>
            <w:r>
              <w:rPr>
                <w:w w:val="100"/>
                <w:sz w:val="18"/>
              </w:rPr>
              <w:t>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12.436,98</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49,75%</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343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financijski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3433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Zatezne kamate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85.000,00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44.520,00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52,38%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Uredska oprema i namještaj</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470,00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3,13%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Uređaji, strojevi i oprema za ostale namjene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44.050,00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62,93%</w:t>
            </w:r>
          </w:p>
        </w:tc>
      </w:tr>
      <w:tr>
        <w:trPr>
          <w:trHeight w:val="503" w:hRule="atLeast"/>
        </w:trPr>
        <w:tc>
          <w:tcPr>
            <w:tcW w:w="1136" w:type="dxa"/>
            <w:gridSpan w:val="2"/>
            <w:tcBorders>
              <w:top w:val="single" w:sz="8" w:space="0" w:color="000000"/>
              <w:left w:val="nil"/>
              <w:bottom w:val="single" w:sz="8" w:space="0" w:color="000000"/>
              <w:right w:val="single" w:sz="2" w:space="0" w:color="000000"/>
            </w:tcBorders>
            <w:shd w:val="clear" w:color="auto" w:fill="656599"/>
          </w:tcPr>
          <w:p>
            <w:pPr>
              <w:pStyle w:val="TableParagraph"/>
              <w:spacing w:before="9"/>
              <w:ind w:left="27"/>
              <w:jc w:val="left"/>
              <w:rPr>
                <w:rFonts w:ascii="Verdana"/>
                <w:sz w:val="16"/>
              </w:rPr>
            </w:pPr>
            <w:r>
              <w:rPr>
                <w:rFonts w:ascii="Verdana"/>
                <w:sz w:val="16"/>
              </w:rPr>
              <w:t>RAZDJEL</w:t>
            </w:r>
          </w:p>
          <w:p>
            <w:pPr>
              <w:pStyle w:val="TableParagraph"/>
              <w:spacing w:line="191" w:lineRule="exact" w:before="89"/>
              <w:ind w:right="4"/>
              <w:rPr>
                <w:rFonts w:ascii="Verdana"/>
                <w:sz w:val="16"/>
              </w:rPr>
            </w:pPr>
            <w:r>
              <w:rPr>
                <w:rFonts w:ascii="Verdana"/>
                <w:sz w:val="16"/>
              </w:rPr>
              <w:t>003</w:t>
            </w:r>
          </w:p>
        </w:tc>
        <w:tc>
          <w:tcPr>
            <w:tcW w:w="7778"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81"/>
              <w:jc w:val="left"/>
              <w:rPr>
                <w:rFonts w:ascii="Verdana"/>
                <w:sz w:val="20"/>
              </w:rPr>
            </w:pPr>
            <w:r>
              <w:rPr>
                <w:rFonts w:ascii="Verdana"/>
                <w:w w:val="105"/>
                <w:sz w:val="20"/>
              </w:rPr>
              <w:t>UPRAVNI ODJEL ZA FINANCIJE I GOSPODARSTVO</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0"/>
              <w:rPr>
                <w:rFonts w:ascii="Verdana"/>
                <w:sz w:val="20"/>
              </w:rPr>
            </w:pPr>
            <w:r>
              <w:rPr>
                <w:rFonts w:ascii="Verdana"/>
                <w:sz w:val="20"/>
              </w:rPr>
              <w:t>4.359.707,91</w:t>
            </w:r>
          </w:p>
        </w:tc>
        <w:tc>
          <w:tcPr>
            <w:tcW w:w="1831"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2"/>
              <w:rPr>
                <w:rFonts w:ascii="Verdana"/>
                <w:sz w:val="20"/>
              </w:rPr>
            </w:pPr>
            <w:r>
              <w:rPr>
                <w:rFonts w:ascii="Verdana"/>
                <w:sz w:val="20"/>
              </w:rPr>
              <w:t>4.304.707,91</w:t>
            </w:r>
          </w:p>
        </w:tc>
        <w:tc>
          <w:tcPr>
            <w:tcW w:w="1831"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6"/>
              <w:rPr>
                <w:rFonts w:ascii="Verdana"/>
                <w:sz w:val="20"/>
              </w:rPr>
            </w:pPr>
            <w:r>
              <w:rPr>
                <w:rFonts w:ascii="Verdana"/>
                <w:sz w:val="20"/>
              </w:rPr>
              <w:t>1.813.153,11</w:t>
            </w:r>
          </w:p>
        </w:tc>
        <w:tc>
          <w:tcPr>
            <w:tcW w:w="1105"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58"/>
              <w:rPr>
                <w:rFonts w:ascii="Verdana"/>
                <w:sz w:val="20"/>
              </w:rPr>
            </w:pPr>
            <w:r>
              <w:rPr>
                <w:rFonts w:ascii="Verdana"/>
                <w:sz w:val="20"/>
              </w:rPr>
              <w:t>42,12%</w:t>
            </w:r>
          </w:p>
        </w:tc>
      </w:tr>
      <w:tr>
        <w:trPr>
          <w:trHeight w:val="505" w:hRule="atLeast"/>
        </w:trPr>
        <w:tc>
          <w:tcPr>
            <w:tcW w:w="1136" w:type="dxa"/>
            <w:gridSpan w:val="2"/>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right="-15"/>
              <w:jc w:val="left"/>
              <w:rPr>
                <w:rFonts w:ascii="Verdana"/>
                <w:sz w:val="16"/>
              </w:rPr>
            </w:pPr>
            <w:r>
              <w:rPr>
                <w:rFonts w:ascii="Verdana"/>
                <w:sz w:val="16"/>
              </w:rPr>
              <w:t>00301</w:t>
            </w:r>
          </w:p>
        </w:tc>
        <w:tc>
          <w:tcPr>
            <w:tcW w:w="7778"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81"/>
              <w:jc w:val="left"/>
              <w:rPr>
                <w:rFonts w:ascii="Verdana"/>
                <w:sz w:val="20"/>
              </w:rPr>
            </w:pPr>
            <w:r>
              <w:rPr>
                <w:rFonts w:ascii="Verdana"/>
                <w:sz w:val="20"/>
              </w:rPr>
              <w:t>UO ZA FINANCIJE I</w:t>
            </w:r>
            <w:r>
              <w:rPr>
                <w:rFonts w:ascii="Verdana"/>
                <w:spacing w:val="-53"/>
                <w:sz w:val="20"/>
              </w:rPr>
              <w:t> </w:t>
            </w:r>
            <w:r>
              <w:rPr>
                <w:rFonts w:ascii="Verdana"/>
                <w:sz w:val="20"/>
              </w:rPr>
              <w:t>GOSPODARSTVO</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0"/>
              <w:rPr>
                <w:rFonts w:ascii="Verdana"/>
                <w:sz w:val="20"/>
              </w:rPr>
            </w:pPr>
            <w:r>
              <w:rPr>
                <w:rFonts w:ascii="Verdana"/>
                <w:sz w:val="20"/>
              </w:rPr>
              <w:t>4.359.707,91</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2"/>
              <w:rPr>
                <w:rFonts w:ascii="Verdana"/>
                <w:sz w:val="20"/>
              </w:rPr>
            </w:pPr>
            <w:r>
              <w:rPr>
                <w:rFonts w:ascii="Verdana"/>
                <w:sz w:val="20"/>
              </w:rPr>
              <w:t>4.304.707,91</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6"/>
              <w:rPr>
                <w:rFonts w:ascii="Verdana"/>
                <w:sz w:val="20"/>
              </w:rPr>
            </w:pPr>
            <w:r>
              <w:rPr>
                <w:rFonts w:ascii="Verdana"/>
                <w:sz w:val="20"/>
              </w:rPr>
              <w:t>1.813.153,11</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58"/>
              <w:rPr>
                <w:rFonts w:ascii="Verdana"/>
                <w:sz w:val="20"/>
              </w:rPr>
            </w:pPr>
            <w:r>
              <w:rPr>
                <w:rFonts w:ascii="Verdana"/>
                <w:sz w:val="20"/>
              </w:rPr>
              <w:t>42,12%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352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Subvencije trgovačkim društvima, obrtnicima, malim i srednjim poduzetnicima izvan javnog sektora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8.334,54</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5,95%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3523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Subvencije poljoprivrednicima, obrtnicima, malim i srednjim poduzetnicima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8.334,54</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5,95%</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2.867,00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16,86%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2.867,00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16,86%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Materijalna imovina - prirodna bogatstva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104.000,00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100,00%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4111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Zemljište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104.000,00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100,00%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7.500,00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7.500,00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50,00%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1.569.707,91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1.514.707,91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726.905,58</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47,99%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 za redovan rad</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1.569.707,91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1.514.707,91</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726.905,58</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47,99%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19.205,23</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27,44%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19.205,23</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27,44%</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na 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239.000,00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239.000,00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117.735,14</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49,26%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zdravstveno osiguranje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212.000,00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212.000,00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105.377,76</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49,71%</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zapošljavanje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12.357,38</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45,77%</w:t>
            </w:r>
          </w:p>
        </w:tc>
      </w:tr>
      <w:tr>
        <w:trPr>
          <w:trHeight w:val="282" w:hRule="atLeast"/>
        </w:trPr>
        <w:tc>
          <w:tcPr>
            <w:tcW w:w="734" w:type="dxa"/>
            <w:tcBorders>
              <w:top w:val="single" w:sz="8" w:space="0" w:color="000000"/>
              <w:left w:val="nil"/>
              <w:bottom w:val="nil"/>
              <w:right w:val="single" w:sz="2" w:space="0" w:color="000000"/>
            </w:tcBorders>
          </w:tcPr>
          <w:p>
            <w:pPr>
              <w:pStyle w:val="TableParagraph"/>
              <w:ind w:right="5"/>
              <w:rPr>
                <w:sz w:val="16"/>
              </w:rPr>
            </w:pPr>
            <w:r>
              <w:rPr>
                <w:sz w:val="16"/>
              </w:rPr>
              <w:t>321</w:t>
            </w:r>
          </w:p>
        </w:tc>
        <w:tc>
          <w:tcPr>
            <w:tcW w:w="402"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9"/>
              <w:jc w:val="left"/>
              <w:rPr>
                <w:sz w:val="16"/>
              </w:rPr>
            </w:pPr>
            <w:r>
              <w:rPr>
                <w:sz w:val="16"/>
              </w:rPr>
              <w:t>Naknade troškova zaposlenima</w:t>
            </w:r>
          </w:p>
        </w:tc>
        <w:tc>
          <w:tcPr>
            <w:tcW w:w="1833" w:type="dxa"/>
            <w:tcBorders>
              <w:top w:val="single" w:sz="8" w:space="0" w:color="000000"/>
              <w:left w:val="single" w:sz="2" w:space="0" w:color="000000"/>
              <w:bottom w:val="nil"/>
              <w:right w:val="single" w:sz="2" w:space="0" w:color="000000"/>
            </w:tcBorders>
          </w:tcPr>
          <w:p>
            <w:pPr>
              <w:pStyle w:val="TableParagraph"/>
              <w:ind w:right="51"/>
              <w:rPr>
                <w:sz w:val="16"/>
              </w:rPr>
            </w:pPr>
            <w:r>
              <w:rPr>
                <w:sz w:val="16"/>
              </w:rPr>
              <w:t>129.000,00</w:t>
            </w:r>
          </w:p>
        </w:tc>
        <w:tc>
          <w:tcPr>
            <w:tcW w:w="1831" w:type="dxa"/>
            <w:tcBorders>
              <w:top w:val="single" w:sz="8" w:space="0" w:color="000000"/>
              <w:left w:val="single" w:sz="2" w:space="0" w:color="000000"/>
              <w:bottom w:val="nil"/>
              <w:right w:val="single" w:sz="2" w:space="0" w:color="000000"/>
            </w:tcBorders>
          </w:tcPr>
          <w:p>
            <w:pPr>
              <w:pStyle w:val="TableParagraph"/>
              <w:ind w:right="55"/>
              <w:rPr>
                <w:sz w:val="16"/>
              </w:rPr>
            </w:pPr>
            <w:r>
              <w:rPr>
                <w:sz w:val="16"/>
              </w:rPr>
              <w:t>129.000,00</w:t>
            </w:r>
          </w:p>
        </w:tc>
        <w:tc>
          <w:tcPr>
            <w:tcW w:w="1831" w:type="dxa"/>
            <w:tcBorders>
              <w:top w:val="single" w:sz="8" w:space="0" w:color="000000"/>
              <w:left w:val="single" w:sz="2" w:space="0" w:color="000000"/>
              <w:bottom w:val="nil"/>
              <w:right w:val="single" w:sz="2" w:space="0" w:color="000000"/>
            </w:tcBorders>
          </w:tcPr>
          <w:p>
            <w:pPr>
              <w:pStyle w:val="TableParagraph"/>
              <w:ind w:right="57"/>
              <w:rPr>
                <w:sz w:val="16"/>
              </w:rPr>
            </w:pPr>
            <w:r>
              <w:rPr>
                <w:sz w:val="16"/>
              </w:rPr>
              <w:t>54.293,50</w:t>
            </w:r>
          </w:p>
        </w:tc>
        <w:tc>
          <w:tcPr>
            <w:tcW w:w="1105" w:type="dxa"/>
            <w:tcBorders>
              <w:top w:val="single" w:sz="8" w:space="0" w:color="000000"/>
              <w:left w:val="single" w:sz="2" w:space="0" w:color="000000"/>
              <w:bottom w:val="nil"/>
              <w:right w:val="nil"/>
            </w:tcBorders>
          </w:tcPr>
          <w:p>
            <w:pPr>
              <w:pStyle w:val="TableParagraph"/>
              <w:ind w:right="51"/>
              <w:rPr>
                <w:sz w:val="16"/>
              </w:rPr>
            </w:pPr>
            <w:r>
              <w:rPr>
                <w:sz w:val="16"/>
              </w:rPr>
              <w:t>42,09%</w:t>
            </w:r>
          </w:p>
        </w:tc>
      </w:tr>
    </w:tbl>
    <w:p>
      <w:pPr>
        <w:spacing w:after="0"/>
        <w:rPr>
          <w:sz w:val="16"/>
        </w:rPr>
        <w:sectPr>
          <w:footerReference w:type="default" r:id="rId11"/>
          <w:pgSz w:w="16840" w:h="11900" w:orient="landscape"/>
          <w:pgMar w:footer="721" w:header="0"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3"/>
      </w:tblGrid>
      <w:tr>
        <w:trPr>
          <w:trHeight w:val="828" w:hRule="atLeast"/>
        </w:trPr>
        <w:tc>
          <w:tcPr>
            <w:tcW w:w="15512" w:type="dxa"/>
            <w:gridSpan w:val="7"/>
            <w:tcBorders>
              <w:left w:val="nil"/>
              <w:bottom w:val="single" w:sz="8" w:space="0" w:color="000000"/>
              <w:right w:val="nil"/>
            </w:tcBorders>
            <w:shd w:val="clear" w:color="auto" w:fill="C0C0C0"/>
          </w:tcPr>
          <w:p>
            <w:pPr>
              <w:pStyle w:val="TableParagraph"/>
              <w:spacing w:before="56"/>
              <w:ind w:left="1443" w:right="1458"/>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68"/>
              <w:jc w:val="center"/>
              <w:rPr>
                <w:rFonts w:ascii="Times New Roman"/>
                <w:sz w:val="22"/>
              </w:rPr>
            </w:pPr>
            <w:r>
              <w:rPr>
                <w:rFonts w:ascii="Times New Roman"/>
                <w:sz w:val="22"/>
              </w:rPr>
              <w:t>POSEBNI DIO - EKONOMSKA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7" w:hanging="5"/>
              <w:jc w:val="center"/>
              <w:rPr>
                <w:sz w:val="20"/>
              </w:rPr>
            </w:pPr>
            <w:r>
              <w:rPr>
                <w:sz w:val="20"/>
              </w:rPr>
              <w:t>Račun/ </w:t>
            </w:r>
            <w:r>
              <w:rPr>
                <w:w w:val="95"/>
                <w:sz w:val="20"/>
              </w:rPr>
              <w:t>Pozicija</w:t>
            </w:r>
          </w:p>
          <w:p>
            <w:pPr>
              <w:pStyle w:val="TableParagraph"/>
              <w:spacing w:before="84"/>
              <w:ind w:left="172"/>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6"/>
              <w:jc w:val="center"/>
              <w:rPr>
                <w:sz w:val="20"/>
              </w:rPr>
            </w:pPr>
            <w:r>
              <w:rPr>
                <w:sz w:val="20"/>
              </w:rPr>
              <w:t>Opis</w:t>
            </w:r>
          </w:p>
          <w:p>
            <w:pPr>
              <w:pStyle w:val="TableParagraph"/>
              <w:spacing w:before="4"/>
              <w:jc w:val="left"/>
              <w:rPr>
                <w:rFonts w:ascii="Times New Roman"/>
                <w:sz w:val="28"/>
              </w:rPr>
            </w:pPr>
          </w:p>
          <w:p>
            <w:pPr>
              <w:pStyle w:val="TableParagraph"/>
              <w:spacing w:before="0"/>
              <w:ind w:left="6"/>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2" w:right="138"/>
              <w:jc w:val="center"/>
              <w:rPr>
                <w:sz w:val="20"/>
              </w:rPr>
            </w:pPr>
            <w:r>
              <w:rPr>
                <w:sz w:val="20"/>
              </w:rPr>
              <w:t>Izvorni plan za 2014. godinu</w:t>
            </w:r>
          </w:p>
          <w:p>
            <w:pPr>
              <w:pStyle w:val="TableParagraph"/>
              <w:spacing w:before="89"/>
              <w:ind w:left="3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1"/>
              <w:jc w:val="center"/>
              <w:rPr>
                <w:sz w:val="20"/>
              </w:rPr>
            </w:pPr>
            <w:r>
              <w:rPr>
                <w:sz w:val="20"/>
              </w:rPr>
              <w:t>Tekući plan za 2014. godinu</w:t>
            </w:r>
          </w:p>
          <w:p>
            <w:pPr>
              <w:pStyle w:val="TableParagraph"/>
              <w:spacing w:before="89"/>
              <w:ind w:left="27"/>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7"/>
              <w:jc w:val="center"/>
              <w:rPr>
                <w:sz w:val="20"/>
              </w:rPr>
            </w:pPr>
            <w:r>
              <w:rPr>
                <w:sz w:val="20"/>
              </w:rPr>
              <w:t>Izvršenje 01.01.-</w:t>
            </w:r>
          </w:p>
          <w:p>
            <w:pPr>
              <w:pStyle w:val="TableParagraph"/>
              <w:spacing w:line="241" w:lineRule="exact" w:before="0"/>
              <w:ind w:left="147" w:right="124"/>
              <w:jc w:val="center"/>
              <w:rPr>
                <w:sz w:val="20"/>
              </w:rPr>
            </w:pPr>
            <w:r>
              <w:rPr>
                <w:sz w:val="20"/>
              </w:rPr>
              <w:t>30.06.2014.</w:t>
            </w:r>
          </w:p>
          <w:p>
            <w:pPr>
              <w:pStyle w:val="TableParagraph"/>
              <w:spacing w:before="90"/>
              <w:ind w:left="22"/>
              <w:jc w:val="center"/>
              <w:rPr>
                <w:sz w:val="18"/>
              </w:rPr>
            </w:pPr>
            <w:r>
              <w:rPr>
                <w:w w:val="100"/>
                <w:sz w:val="18"/>
              </w:rPr>
              <w:t>5</w:t>
            </w:r>
          </w:p>
        </w:tc>
        <w:tc>
          <w:tcPr>
            <w:tcW w:w="1103"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72" w:right="237"/>
              <w:jc w:val="center"/>
              <w:rPr>
                <w:sz w:val="20"/>
              </w:rPr>
            </w:pPr>
            <w:r>
              <w:rPr>
                <w:w w:val="95"/>
                <w:sz w:val="20"/>
              </w:rPr>
              <w:t>Indeks </w:t>
            </w:r>
            <w:r>
              <w:rPr>
                <w:sz w:val="20"/>
              </w:rPr>
              <w:t>5/4</w:t>
            </w:r>
          </w:p>
          <w:p>
            <w:pPr>
              <w:pStyle w:val="TableParagraph"/>
              <w:spacing w:before="89"/>
              <w:ind w:left="38"/>
              <w:jc w:val="center"/>
              <w:rPr>
                <w:sz w:val="18"/>
              </w:rPr>
            </w:pPr>
            <w:r>
              <w:rPr>
                <w:w w:val="100"/>
                <w:sz w:val="18"/>
              </w:rPr>
              <w:t>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Službena putovanja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16.030,00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53,43%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za prijevoz, za rad na terenu i odvojeni život</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85.000,00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37.663,50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44,31%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Stručno usavršavanje zaposlenika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600,00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4,29%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20.109,05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46,77%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4.615,33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20,07%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15.493,72</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77,47%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6.599,94</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24,44%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6.599,94</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24,44%</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14.142,33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35,36%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Premije osiguranja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3.978,25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39,78%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Članarine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10.164,08</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33,88%</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343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financijski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11.710,63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32,53%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3431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Bankarske usluge i usluge platnog prometa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11.702,72</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33,44%</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3433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Zatezne kamate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7,91</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0,79%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328.000,00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328.000,00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108.886,13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33,20%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Uredski materijal i ostali materijalni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26.695,89</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51,34%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Energija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246.000,00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66.649,73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27,20%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Mat. i dijelovi za tekuće i investicijsko održavanje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6.889,11</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49,21%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3225</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Sitni inventar i auto gume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8.391,40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76,29%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Službena, radna i zaštitna odjeća i obuća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260,00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4,33%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140.287,40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43,57%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telefona, pošte i prijevoza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31.475,39</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43,12%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13.011,25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50,04%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promidžbe i informiranja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29.500,00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9.393,90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31,84%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98.500,00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49.674,76</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50,43%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3.194,45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8,63%</w:t>
            </w:r>
          </w:p>
        </w:tc>
      </w:tr>
      <w:tr>
        <w:trPr>
          <w:trHeight w:val="282" w:hRule="atLeast"/>
        </w:trPr>
        <w:tc>
          <w:tcPr>
            <w:tcW w:w="734" w:type="dxa"/>
            <w:tcBorders>
              <w:top w:val="single" w:sz="8" w:space="0" w:color="000000"/>
              <w:left w:val="nil"/>
              <w:bottom w:val="nil"/>
              <w:right w:val="single" w:sz="2" w:space="0" w:color="000000"/>
            </w:tcBorders>
          </w:tcPr>
          <w:p>
            <w:pPr>
              <w:pStyle w:val="TableParagraph"/>
              <w:ind w:right="5"/>
              <w:rPr>
                <w:sz w:val="16"/>
              </w:rPr>
            </w:pPr>
            <w:r>
              <w:rPr>
                <w:sz w:val="16"/>
              </w:rPr>
              <w:t>3238</w:t>
            </w:r>
          </w:p>
        </w:tc>
        <w:tc>
          <w:tcPr>
            <w:tcW w:w="402"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9"/>
              <w:jc w:val="left"/>
              <w:rPr>
                <w:sz w:val="16"/>
              </w:rPr>
            </w:pPr>
            <w:r>
              <w:rPr>
                <w:sz w:val="16"/>
              </w:rPr>
              <w:t>Računalne usluge</w:t>
            </w:r>
          </w:p>
        </w:tc>
        <w:tc>
          <w:tcPr>
            <w:tcW w:w="1833" w:type="dxa"/>
            <w:tcBorders>
              <w:top w:val="single" w:sz="8" w:space="0" w:color="000000"/>
              <w:left w:val="single" w:sz="2" w:space="0" w:color="000000"/>
              <w:bottom w:val="nil"/>
              <w:right w:val="single" w:sz="2" w:space="0" w:color="000000"/>
            </w:tcBorders>
          </w:tcPr>
          <w:p>
            <w:pPr>
              <w:pStyle w:val="TableParagraph"/>
              <w:ind w:right="53"/>
              <w:rPr>
                <w:sz w:val="16"/>
              </w:rPr>
            </w:pPr>
            <w:r>
              <w:rPr>
                <w:sz w:val="16"/>
              </w:rPr>
              <w:t>33.000,00</w:t>
            </w:r>
          </w:p>
        </w:tc>
        <w:tc>
          <w:tcPr>
            <w:tcW w:w="1831" w:type="dxa"/>
            <w:tcBorders>
              <w:top w:val="single" w:sz="8" w:space="0" w:color="000000"/>
              <w:left w:val="single" w:sz="2" w:space="0" w:color="000000"/>
              <w:bottom w:val="nil"/>
              <w:right w:val="single" w:sz="2" w:space="0" w:color="000000"/>
            </w:tcBorders>
          </w:tcPr>
          <w:p>
            <w:pPr>
              <w:pStyle w:val="TableParagraph"/>
              <w:ind w:right="55"/>
              <w:rPr>
                <w:sz w:val="16"/>
              </w:rPr>
            </w:pPr>
            <w:r>
              <w:rPr>
                <w:sz w:val="16"/>
              </w:rPr>
              <w:t>33.000,00</w:t>
            </w:r>
          </w:p>
        </w:tc>
        <w:tc>
          <w:tcPr>
            <w:tcW w:w="1831" w:type="dxa"/>
            <w:tcBorders>
              <w:top w:val="single" w:sz="8" w:space="0" w:color="000000"/>
              <w:left w:val="single" w:sz="2" w:space="0" w:color="000000"/>
              <w:bottom w:val="nil"/>
              <w:right w:val="single" w:sz="2" w:space="0" w:color="000000"/>
            </w:tcBorders>
          </w:tcPr>
          <w:p>
            <w:pPr>
              <w:pStyle w:val="TableParagraph"/>
              <w:ind w:right="57"/>
              <w:rPr>
                <w:sz w:val="16"/>
              </w:rPr>
            </w:pPr>
            <w:r>
              <w:rPr>
                <w:sz w:val="16"/>
              </w:rPr>
              <w:t>17.174,89</w:t>
            </w:r>
          </w:p>
        </w:tc>
        <w:tc>
          <w:tcPr>
            <w:tcW w:w="1103" w:type="dxa"/>
            <w:tcBorders>
              <w:top w:val="single" w:sz="8" w:space="0" w:color="000000"/>
              <w:left w:val="single" w:sz="2" w:space="0" w:color="000000"/>
              <w:bottom w:val="nil"/>
              <w:right w:val="nil"/>
            </w:tcBorders>
          </w:tcPr>
          <w:p>
            <w:pPr>
              <w:pStyle w:val="TableParagraph"/>
              <w:ind w:right="49"/>
              <w:rPr>
                <w:sz w:val="16"/>
              </w:rPr>
            </w:pPr>
            <w:r>
              <w:rPr>
                <w:sz w:val="16"/>
              </w:rPr>
              <w:t>52,05%</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3"/>
      </w:tblGrid>
      <w:tr>
        <w:trPr>
          <w:trHeight w:val="828" w:hRule="atLeast"/>
        </w:trPr>
        <w:tc>
          <w:tcPr>
            <w:tcW w:w="15512" w:type="dxa"/>
            <w:gridSpan w:val="7"/>
            <w:tcBorders>
              <w:left w:val="nil"/>
              <w:bottom w:val="single" w:sz="8" w:space="0" w:color="000000"/>
              <w:right w:val="nil"/>
            </w:tcBorders>
            <w:shd w:val="clear" w:color="auto" w:fill="C0C0C0"/>
          </w:tcPr>
          <w:p>
            <w:pPr>
              <w:pStyle w:val="TableParagraph"/>
              <w:spacing w:before="56"/>
              <w:ind w:left="1443" w:right="1458"/>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68"/>
              <w:jc w:val="center"/>
              <w:rPr>
                <w:rFonts w:ascii="Times New Roman"/>
                <w:sz w:val="22"/>
              </w:rPr>
            </w:pPr>
            <w:r>
              <w:rPr>
                <w:rFonts w:ascii="Times New Roman"/>
                <w:sz w:val="22"/>
              </w:rPr>
              <w:t>POSEBNI DIO - EKONOMSKA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7" w:hanging="5"/>
              <w:jc w:val="center"/>
              <w:rPr>
                <w:sz w:val="20"/>
              </w:rPr>
            </w:pPr>
            <w:r>
              <w:rPr>
                <w:sz w:val="20"/>
              </w:rPr>
              <w:t>Račun/ </w:t>
            </w:r>
            <w:r>
              <w:rPr>
                <w:w w:val="95"/>
                <w:sz w:val="20"/>
              </w:rPr>
              <w:t>Pozicija</w:t>
            </w:r>
          </w:p>
          <w:p>
            <w:pPr>
              <w:pStyle w:val="TableParagraph"/>
              <w:spacing w:before="84"/>
              <w:ind w:left="172"/>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6"/>
              <w:jc w:val="center"/>
              <w:rPr>
                <w:sz w:val="20"/>
              </w:rPr>
            </w:pPr>
            <w:r>
              <w:rPr>
                <w:sz w:val="20"/>
              </w:rPr>
              <w:t>Opis</w:t>
            </w:r>
          </w:p>
          <w:p>
            <w:pPr>
              <w:pStyle w:val="TableParagraph"/>
              <w:spacing w:before="4"/>
              <w:jc w:val="left"/>
              <w:rPr>
                <w:rFonts w:ascii="Times New Roman"/>
                <w:sz w:val="28"/>
              </w:rPr>
            </w:pPr>
          </w:p>
          <w:p>
            <w:pPr>
              <w:pStyle w:val="TableParagraph"/>
              <w:spacing w:before="0"/>
              <w:ind w:left="6"/>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2" w:right="138"/>
              <w:jc w:val="center"/>
              <w:rPr>
                <w:sz w:val="20"/>
              </w:rPr>
            </w:pPr>
            <w:r>
              <w:rPr>
                <w:sz w:val="20"/>
              </w:rPr>
              <w:t>Izvorni plan za 2014. godinu</w:t>
            </w:r>
          </w:p>
          <w:p>
            <w:pPr>
              <w:pStyle w:val="TableParagraph"/>
              <w:spacing w:before="89"/>
              <w:ind w:left="3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1"/>
              <w:jc w:val="center"/>
              <w:rPr>
                <w:sz w:val="20"/>
              </w:rPr>
            </w:pPr>
            <w:r>
              <w:rPr>
                <w:sz w:val="20"/>
              </w:rPr>
              <w:t>Tekući plan za 2014. godinu</w:t>
            </w:r>
          </w:p>
          <w:p>
            <w:pPr>
              <w:pStyle w:val="TableParagraph"/>
              <w:spacing w:before="89"/>
              <w:ind w:left="27"/>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7"/>
              <w:jc w:val="center"/>
              <w:rPr>
                <w:sz w:val="20"/>
              </w:rPr>
            </w:pPr>
            <w:r>
              <w:rPr>
                <w:sz w:val="20"/>
              </w:rPr>
              <w:t>Izvršenje 01.01.-</w:t>
            </w:r>
          </w:p>
          <w:p>
            <w:pPr>
              <w:pStyle w:val="TableParagraph"/>
              <w:spacing w:line="241" w:lineRule="exact" w:before="0"/>
              <w:ind w:left="147" w:right="124"/>
              <w:jc w:val="center"/>
              <w:rPr>
                <w:sz w:val="20"/>
              </w:rPr>
            </w:pPr>
            <w:r>
              <w:rPr>
                <w:sz w:val="20"/>
              </w:rPr>
              <w:t>30.06.2014.</w:t>
            </w:r>
          </w:p>
          <w:p>
            <w:pPr>
              <w:pStyle w:val="TableParagraph"/>
              <w:spacing w:before="90"/>
              <w:ind w:left="22"/>
              <w:jc w:val="center"/>
              <w:rPr>
                <w:sz w:val="18"/>
              </w:rPr>
            </w:pPr>
            <w:r>
              <w:rPr>
                <w:w w:val="100"/>
                <w:sz w:val="18"/>
              </w:rPr>
              <w:t>5</w:t>
            </w:r>
          </w:p>
        </w:tc>
        <w:tc>
          <w:tcPr>
            <w:tcW w:w="1103"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72" w:right="237"/>
              <w:jc w:val="center"/>
              <w:rPr>
                <w:sz w:val="20"/>
              </w:rPr>
            </w:pPr>
            <w:r>
              <w:rPr>
                <w:w w:val="95"/>
                <w:sz w:val="20"/>
              </w:rPr>
              <w:t>Indeks </w:t>
            </w:r>
            <w:r>
              <w:rPr>
                <w:sz w:val="20"/>
              </w:rPr>
              <w:t>5/4</w:t>
            </w:r>
          </w:p>
          <w:p>
            <w:pPr>
              <w:pStyle w:val="TableParagraph"/>
              <w:spacing w:before="89"/>
              <w:ind w:left="38"/>
              <w:jc w:val="center"/>
              <w:rPr>
                <w:sz w:val="18"/>
              </w:rPr>
            </w:pPr>
            <w:r>
              <w:rPr>
                <w:w w:val="100"/>
                <w:sz w:val="18"/>
              </w:rPr>
              <w:t>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16.362,76</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65,45%</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35.292,27</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90,49%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3295</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Pristojbe i naknade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4.354,00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87,08%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30.938,27</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90,99%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8.121,00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54,14%</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Uredska oprema i namještaj</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8.121,00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54,14%</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426</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4262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Ulaganja u računalne programe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34.124,68</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68,25%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34.124,68</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68,25%</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163.000,00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163.000,00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162.000,00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99,39%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163.000,00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163.000,00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162.000,00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99,39%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Nematerijalna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35.015,00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23,34%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4124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Ostala prava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35.015,00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23,34%</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342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Kamate za primljene zajmove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3422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Kamate za primljene zajmove od banaka i ostalih financijskih institucija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343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financijski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44.000,00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84,62%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3434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financijski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44.000,00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84,62%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470.000,00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150.000,00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31,91%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470.000,00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150.000,00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31,91%</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352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Subvencije trgovačkim društvima, obrtnicima, malim i srednjim poduzetnicima izvan javnog sektora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49,11</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2,46%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3523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Subvencije poljoprivrednicima, obrtnicima, malim i srednjim poduzetnicima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49,11</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2,46%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85" w:hRule="atLeast"/>
        </w:trPr>
        <w:tc>
          <w:tcPr>
            <w:tcW w:w="734" w:type="dxa"/>
            <w:tcBorders>
              <w:top w:val="single" w:sz="8" w:space="0" w:color="000000"/>
              <w:left w:val="nil"/>
              <w:bottom w:val="nil"/>
              <w:right w:val="single" w:sz="2" w:space="0" w:color="000000"/>
            </w:tcBorders>
          </w:tcPr>
          <w:p>
            <w:pPr>
              <w:pStyle w:val="TableParagraph"/>
              <w:ind w:right="5"/>
              <w:rPr>
                <w:sz w:val="16"/>
              </w:rPr>
            </w:pPr>
            <w:r>
              <w:rPr>
                <w:sz w:val="16"/>
              </w:rPr>
              <w:t>426</w:t>
            </w:r>
          </w:p>
        </w:tc>
        <w:tc>
          <w:tcPr>
            <w:tcW w:w="402"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9"/>
              <w:jc w:val="left"/>
              <w:rPr>
                <w:sz w:val="16"/>
              </w:rPr>
            </w:pPr>
            <w:r>
              <w:rPr>
                <w:sz w:val="16"/>
              </w:rPr>
              <w:t>Nematerijalna proizvedena imovina</w:t>
            </w:r>
          </w:p>
        </w:tc>
        <w:tc>
          <w:tcPr>
            <w:tcW w:w="1833" w:type="dxa"/>
            <w:tcBorders>
              <w:top w:val="single" w:sz="8" w:space="0" w:color="000000"/>
              <w:left w:val="single" w:sz="2" w:space="0" w:color="000000"/>
              <w:bottom w:val="nil"/>
              <w:right w:val="single" w:sz="2" w:space="0" w:color="000000"/>
            </w:tcBorders>
          </w:tcPr>
          <w:p>
            <w:pPr>
              <w:pStyle w:val="TableParagraph"/>
              <w:ind w:right="51"/>
              <w:rPr>
                <w:sz w:val="16"/>
              </w:rPr>
            </w:pPr>
            <w:r>
              <w:rPr>
                <w:sz w:val="16"/>
              </w:rPr>
              <w:t>105.000,00</w:t>
            </w:r>
          </w:p>
        </w:tc>
        <w:tc>
          <w:tcPr>
            <w:tcW w:w="1831" w:type="dxa"/>
            <w:tcBorders>
              <w:top w:val="single" w:sz="8" w:space="0" w:color="000000"/>
              <w:left w:val="single" w:sz="2" w:space="0" w:color="000000"/>
              <w:bottom w:val="nil"/>
              <w:right w:val="single" w:sz="2" w:space="0" w:color="000000"/>
            </w:tcBorders>
          </w:tcPr>
          <w:p>
            <w:pPr>
              <w:pStyle w:val="TableParagraph"/>
              <w:ind w:right="55"/>
              <w:rPr>
                <w:sz w:val="16"/>
              </w:rPr>
            </w:pPr>
            <w:r>
              <w:rPr>
                <w:sz w:val="16"/>
              </w:rPr>
              <w:t>105.000,00</w:t>
            </w:r>
          </w:p>
        </w:tc>
        <w:tc>
          <w:tcPr>
            <w:tcW w:w="1831" w:type="dxa"/>
            <w:tcBorders>
              <w:top w:val="single" w:sz="8" w:space="0" w:color="000000"/>
              <w:left w:val="single" w:sz="2" w:space="0" w:color="000000"/>
              <w:bottom w:val="nil"/>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nil"/>
              <w:right w:val="nil"/>
            </w:tcBorders>
          </w:tcPr>
          <w:p>
            <w:pPr>
              <w:pStyle w:val="TableParagraph"/>
              <w:ind w:right="49"/>
              <w:rPr>
                <w:sz w:val="16"/>
              </w:rPr>
            </w:pPr>
            <w:r>
              <w:rPr>
                <w:sz w:val="16"/>
              </w:rPr>
              <w:t>0,00%</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5"/>
      </w:tblGrid>
      <w:tr>
        <w:trPr>
          <w:trHeight w:val="828" w:hRule="atLeast"/>
        </w:trPr>
        <w:tc>
          <w:tcPr>
            <w:tcW w:w="15514" w:type="dxa"/>
            <w:gridSpan w:val="7"/>
            <w:tcBorders>
              <w:left w:val="nil"/>
              <w:bottom w:val="single" w:sz="8" w:space="0" w:color="000000"/>
              <w:right w:val="nil"/>
            </w:tcBorders>
            <w:shd w:val="clear" w:color="auto" w:fill="C0C0C0"/>
          </w:tcPr>
          <w:p>
            <w:pPr>
              <w:pStyle w:val="TableParagraph"/>
              <w:spacing w:before="56"/>
              <w:ind w:left="1439" w:right="1456"/>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70"/>
              <w:jc w:val="center"/>
              <w:rPr>
                <w:rFonts w:ascii="Times New Roman"/>
                <w:sz w:val="22"/>
              </w:rPr>
            </w:pPr>
            <w:r>
              <w:rPr>
                <w:rFonts w:ascii="Times New Roman"/>
                <w:sz w:val="22"/>
              </w:rPr>
              <w:t>POSEBNI DIO - EKONOMSKA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7" w:hanging="5"/>
              <w:jc w:val="center"/>
              <w:rPr>
                <w:sz w:val="20"/>
              </w:rPr>
            </w:pPr>
            <w:r>
              <w:rPr>
                <w:sz w:val="20"/>
              </w:rPr>
              <w:t>Račun/ </w:t>
            </w:r>
            <w:r>
              <w:rPr>
                <w:w w:val="95"/>
                <w:sz w:val="20"/>
              </w:rPr>
              <w:t>Pozicija</w:t>
            </w:r>
          </w:p>
          <w:p>
            <w:pPr>
              <w:pStyle w:val="TableParagraph"/>
              <w:spacing w:before="84"/>
              <w:ind w:left="172"/>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6"/>
              <w:jc w:val="center"/>
              <w:rPr>
                <w:sz w:val="20"/>
              </w:rPr>
            </w:pPr>
            <w:r>
              <w:rPr>
                <w:sz w:val="20"/>
              </w:rPr>
              <w:t>Opis</w:t>
            </w:r>
          </w:p>
          <w:p>
            <w:pPr>
              <w:pStyle w:val="TableParagraph"/>
              <w:spacing w:before="4"/>
              <w:jc w:val="left"/>
              <w:rPr>
                <w:rFonts w:ascii="Times New Roman"/>
                <w:sz w:val="28"/>
              </w:rPr>
            </w:pPr>
          </w:p>
          <w:p>
            <w:pPr>
              <w:pStyle w:val="TableParagraph"/>
              <w:spacing w:before="0"/>
              <w:ind w:left="6"/>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2" w:right="138"/>
              <w:jc w:val="center"/>
              <w:rPr>
                <w:sz w:val="20"/>
              </w:rPr>
            </w:pPr>
            <w:r>
              <w:rPr>
                <w:sz w:val="20"/>
              </w:rPr>
              <w:t>Izvorni plan za 2014. godinu</w:t>
            </w:r>
          </w:p>
          <w:p>
            <w:pPr>
              <w:pStyle w:val="TableParagraph"/>
              <w:spacing w:before="89"/>
              <w:ind w:left="3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1"/>
              <w:jc w:val="center"/>
              <w:rPr>
                <w:sz w:val="20"/>
              </w:rPr>
            </w:pPr>
            <w:r>
              <w:rPr>
                <w:sz w:val="20"/>
              </w:rPr>
              <w:t>Tekući plan za 2014. godinu</w:t>
            </w:r>
          </w:p>
          <w:p>
            <w:pPr>
              <w:pStyle w:val="TableParagraph"/>
              <w:spacing w:before="89"/>
              <w:ind w:left="27"/>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7"/>
              <w:jc w:val="center"/>
              <w:rPr>
                <w:sz w:val="20"/>
              </w:rPr>
            </w:pPr>
            <w:r>
              <w:rPr>
                <w:sz w:val="20"/>
              </w:rPr>
              <w:t>Izvršenje 01.01.-</w:t>
            </w:r>
          </w:p>
          <w:p>
            <w:pPr>
              <w:pStyle w:val="TableParagraph"/>
              <w:spacing w:line="241" w:lineRule="exact" w:before="0"/>
              <w:ind w:left="147" w:right="124"/>
              <w:jc w:val="center"/>
              <w:rPr>
                <w:sz w:val="20"/>
              </w:rPr>
            </w:pPr>
            <w:r>
              <w:rPr>
                <w:sz w:val="20"/>
              </w:rPr>
              <w:t>30.06.2014.</w:t>
            </w:r>
          </w:p>
          <w:p>
            <w:pPr>
              <w:pStyle w:val="TableParagraph"/>
              <w:spacing w:before="90"/>
              <w:ind w:left="22"/>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28"/>
              <w:jc w:val="center"/>
              <w:rPr>
                <w:sz w:val="20"/>
              </w:rPr>
            </w:pPr>
            <w:r>
              <w:rPr>
                <w:w w:val="95"/>
                <w:sz w:val="20"/>
              </w:rPr>
              <w:t>Indeks </w:t>
            </w:r>
            <w:r>
              <w:rPr>
                <w:sz w:val="20"/>
              </w:rPr>
              <w:t>5/4</w:t>
            </w:r>
          </w:p>
          <w:p>
            <w:pPr>
              <w:pStyle w:val="TableParagraph"/>
              <w:spacing w:before="89"/>
              <w:ind w:left="36"/>
              <w:jc w:val="center"/>
              <w:rPr>
                <w:sz w:val="18"/>
              </w:rPr>
            </w:pPr>
            <w:r>
              <w:rPr>
                <w:w w:val="100"/>
                <w:sz w:val="18"/>
              </w:rPr>
              <w:t>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4264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Ostala 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105.000,00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1.974,58</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1,58%</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1.974,58</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1,58%</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505" w:hRule="atLeast"/>
        </w:trPr>
        <w:tc>
          <w:tcPr>
            <w:tcW w:w="1136" w:type="dxa"/>
            <w:gridSpan w:val="2"/>
            <w:tcBorders>
              <w:top w:val="single" w:sz="8" w:space="0" w:color="000000"/>
              <w:left w:val="nil"/>
              <w:bottom w:val="single" w:sz="8" w:space="0" w:color="000000"/>
              <w:right w:val="single" w:sz="2" w:space="0" w:color="000000"/>
            </w:tcBorders>
            <w:shd w:val="clear" w:color="auto" w:fill="656599"/>
          </w:tcPr>
          <w:p>
            <w:pPr>
              <w:pStyle w:val="TableParagraph"/>
              <w:spacing w:before="9"/>
              <w:ind w:left="27"/>
              <w:jc w:val="left"/>
              <w:rPr>
                <w:rFonts w:ascii="Verdana"/>
                <w:sz w:val="16"/>
              </w:rPr>
            </w:pPr>
            <w:r>
              <w:rPr>
                <w:rFonts w:ascii="Verdana"/>
                <w:sz w:val="16"/>
              </w:rPr>
              <w:t>RAZDJEL</w:t>
            </w:r>
          </w:p>
          <w:p>
            <w:pPr>
              <w:pStyle w:val="TableParagraph"/>
              <w:spacing w:line="193" w:lineRule="exact" w:before="89"/>
              <w:ind w:right="4"/>
              <w:rPr>
                <w:rFonts w:ascii="Verdana"/>
                <w:sz w:val="16"/>
              </w:rPr>
            </w:pPr>
            <w:r>
              <w:rPr>
                <w:rFonts w:ascii="Verdana"/>
                <w:sz w:val="16"/>
              </w:rPr>
              <w:t>004</w:t>
            </w:r>
          </w:p>
        </w:tc>
        <w:tc>
          <w:tcPr>
            <w:tcW w:w="7778"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81"/>
              <w:jc w:val="left"/>
              <w:rPr>
                <w:rFonts w:ascii="Verdana"/>
                <w:sz w:val="20"/>
              </w:rPr>
            </w:pPr>
            <w:r>
              <w:rPr>
                <w:rFonts w:ascii="Verdana"/>
                <w:sz w:val="20"/>
              </w:rPr>
              <w:t>UPRAVNI ODJEL ZA URBANIZAM I KOMUNALNE POSLOVE</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0"/>
              <w:rPr>
                <w:rFonts w:ascii="Verdana"/>
                <w:sz w:val="20"/>
              </w:rPr>
            </w:pPr>
            <w:r>
              <w:rPr>
                <w:rFonts w:ascii="Verdana"/>
                <w:sz w:val="20"/>
              </w:rPr>
              <w:t>10.354.000,00</w:t>
            </w:r>
          </w:p>
        </w:tc>
        <w:tc>
          <w:tcPr>
            <w:tcW w:w="1831"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5"/>
              <w:rPr>
                <w:rFonts w:ascii="Verdana"/>
                <w:sz w:val="20"/>
              </w:rPr>
            </w:pPr>
            <w:r>
              <w:rPr>
                <w:rFonts w:ascii="Verdana"/>
                <w:sz w:val="20"/>
              </w:rPr>
              <w:t>10.354.000,00</w:t>
            </w:r>
          </w:p>
        </w:tc>
        <w:tc>
          <w:tcPr>
            <w:tcW w:w="1831"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6"/>
              <w:rPr>
                <w:rFonts w:ascii="Verdana"/>
                <w:sz w:val="20"/>
              </w:rPr>
            </w:pPr>
            <w:r>
              <w:rPr>
                <w:rFonts w:ascii="Verdana"/>
                <w:sz w:val="20"/>
              </w:rPr>
              <w:t>1.742.356,03</w:t>
            </w:r>
          </w:p>
        </w:tc>
        <w:tc>
          <w:tcPr>
            <w:tcW w:w="1105"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58"/>
              <w:rPr>
                <w:rFonts w:ascii="Verdana"/>
                <w:sz w:val="20"/>
              </w:rPr>
            </w:pPr>
            <w:r>
              <w:rPr>
                <w:rFonts w:ascii="Verdana"/>
                <w:sz w:val="20"/>
              </w:rPr>
              <w:t>16,83%</w:t>
            </w:r>
          </w:p>
        </w:tc>
      </w:tr>
      <w:tr>
        <w:trPr>
          <w:trHeight w:val="505" w:hRule="atLeast"/>
        </w:trPr>
        <w:tc>
          <w:tcPr>
            <w:tcW w:w="1136" w:type="dxa"/>
            <w:gridSpan w:val="2"/>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right="-15"/>
              <w:jc w:val="left"/>
              <w:rPr>
                <w:rFonts w:ascii="Verdana"/>
                <w:sz w:val="16"/>
              </w:rPr>
            </w:pPr>
            <w:r>
              <w:rPr>
                <w:rFonts w:ascii="Verdana"/>
                <w:sz w:val="16"/>
              </w:rPr>
              <w:t>00401</w:t>
            </w:r>
          </w:p>
        </w:tc>
        <w:tc>
          <w:tcPr>
            <w:tcW w:w="7778"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81"/>
              <w:jc w:val="left"/>
              <w:rPr>
                <w:rFonts w:ascii="Verdana"/>
                <w:sz w:val="20"/>
              </w:rPr>
            </w:pPr>
            <w:r>
              <w:rPr>
                <w:rFonts w:ascii="Verdana"/>
                <w:sz w:val="20"/>
              </w:rPr>
              <w:t>UO ZA URBANIZAM I KOMUNALNE DJELATNOSTI</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0"/>
              <w:rPr>
                <w:rFonts w:ascii="Verdana"/>
                <w:sz w:val="20"/>
              </w:rPr>
            </w:pPr>
            <w:r>
              <w:rPr>
                <w:rFonts w:ascii="Verdana"/>
                <w:sz w:val="20"/>
              </w:rPr>
              <w:t>10.354.000,00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5"/>
              <w:rPr>
                <w:rFonts w:ascii="Verdana"/>
                <w:sz w:val="20"/>
              </w:rPr>
            </w:pPr>
            <w:r>
              <w:rPr>
                <w:rFonts w:ascii="Verdana"/>
                <w:sz w:val="20"/>
              </w:rPr>
              <w:t>10.354.000,00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6"/>
              <w:rPr>
                <w:rFonts w:ascii="Verdana"/>
                <w:sz w:val="20"/>
              </w:rPr>
            </w:pPr>
            <w:r>
              <w:rPr>
                <w:rFonts w:ascii="Verdana"/>
                <w:sz w:val="20"/>
              </w:rPr>
              <w:t>1.742.356,03</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58"/>
              <w:rPr>
                <w:rFonts w:ascii="Verdana"/>
                <w:sz w:val="20"/>
              </w:rPr>
            </w:pPr>
            <w:r>
              <w:rPr>
                <w:rFonts w:ascii="Verdana"/>
                <w:sz w:val="20"/>
              </w:rPr>
              <w:t>16,83%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714.000,00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Ceste, željeznice i slični 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714.000,00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141.000,00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141.000,00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141.000,00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141.000,00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5.384.000,00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5.384.000,00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5.384.000,00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5.384.000,00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189.455,19</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90,22%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Ceste, željeznice i slični 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189.455,19</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90,22%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113.702,35</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94,75%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Ceste, željeznice i slični 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113.702,35</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94,75%</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200.000,00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100,00%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4214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200.000,00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100,00%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386</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Kapitalne pomoći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6"/>
              </w:rPr>
            </w:pP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3861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Kapitalne pomoći bankama i ostalim financijskim institucijama i trgovačkim društvima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6"/>
              </w:rPr>
            </w:pP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380.000,00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380.000,00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55.178,21</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14,52%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313.000,00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313.000,00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55.178,21</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17,63%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Materijalna imovina - prirodna bogatstva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94.159,00</w:t>
            </w:r>
          </w:p>
        </w:tc>
        <w:tc>
          <w:tcPr>
            <w:tcW w:w="1105" w:type="dxa"/>
            <w:tcBorders>
              <w:top w:val="single" w:sz="8" w:space="0" w:color="000000"/>
              <w:left w:val="single" w:sz="2" w:space="0" w:color="000000"/>
              <w:bottom w:val="single" w:sz="8" w:space="0" w:color="000000"/>
              <w:right w:val="nil"/>
            </w:tcBorders>
          </w:tcPr>
          <w:p>
            <w:pPr>
              <w:pStyle w:val="TableParagraph"/>
              <w:ind w:right="51"/>
              <w:rPr>
                <w:sz w:val="16"/>
              </w:rPr>
            </w:pPr>
            <w:r>
              <w:rPr>
                <w:sz w:val="16"/>
              </w:rPr>
              <w:t>72,43%</w:t>
            </w:r>
          </w:p>
        </w:tc>
      </w:tr>
      <w:tr>
        <w:trPr>
          <w:trHeight w:val="280" w:hRule="atLeast"/>
        </w:trPr>
        <w:tc>
          <w:tcPr>
            <w:tcW w:w="734" w:type="dxa"/>
            <w:tcBorders>
              <w:top w:val="single" w:sz="8" w:space="0" w:color="000000"/>
              <w:left w:val="nil"/>
              <w:bottom w:val="nil"/>
              <w:right w:val="single" w:sz="2" w:space="0" w:color="000000"/>
            </w:tcBorders>
          </w:tcPr>
          <w:p>
            <w:pPr>
              <w:pStyle w:val="TableParagraph"/>
              <w:ind w:right="5"/>
              <w:rPr>
                <w:sz w:val="16"/>
              </w:rPr>
            </w:pPr>
            <w:r>
              <w:rPr>
                <w:sz w:val="16"/>
              </w:rPr>
              <w:t>4111</w:t>
            </w:r>
          </w:p>
        </w:tc>
        <w:tc>
          <w:tcPr>
            <w:tcW w:w="402"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9"/>
              <w:jc w:val="left"/>
              <w:rPr>
                <w:sz w:val="16"/>
              </w:rPr>
            </w:pPr>
            <w:r>
              <w:rPr>
                <w:sz w:val="16"/>
              </w:rPr>
              <w:t>Zemljište</w:t>
            </w:r>
          </w:p>
        </w:tc>
        <w:tc>
          <w:tcPr>
            <w:tcW w:w="1833" w:type="dxa"/>
            <w:tcBorders>
              <w:top w:val="single" w:sz="8" w:space="0" w:color="000000"/>
              <w:left w:val="single" w:sz="2" w:space="0" w:color="000000"/>
              <w:bottom w:val="nil"/>
              <w:right w:val="single" w:sz="2" w:space="0" w:color="000000"/>
            </w:tcBorders>
          </w:tcPr>
          <w:p>
            <w:pPr>
              <w:pStyle w:val="TableParagraph"/>
              <w:ind w:right="51"/>
              <w:rPr>
                <w:sz w:val="16"/>
              </w:rPr>
            </w:pPr>
            <w:r>
              <w:rPr>
                <w:sz w:val="16"/>
              </w:rPr>
              <w:t>130.000,00</w:t>
            </w:r>
          </w:p>
        </w:tc>
        <w:tc>
          <w:tcPr>
            <w:tcW w:w="1831" w:type="dxa"/>
            <w:tcBorders>
              <w:top w:val="single" w:sz="8" w:space="0" w:color="000000"/>
              <w:left w:val="single" w:sz="2" w:space="0" w:color="000000"/>
              <w:bottom w:val="nil"/>
              <w:right w:val="single" w:sz="2" w:space="0" w:color="000000"/>
            </w:tcBorders>
          </w:tcPr>
          <w:p>
            <w:pPr>
              <w:pStyle w:val="TableParagraph"/>
              <w:ind w:right="55"/>
              <w:rPr>
                <w:sz w:val="16"/>
              </w:rPr>
            </w:pPr>
            <w:r>
              <w:rPr>
                <w:sz w:val="16"/>
              </w:rPr>
              <w:t>130.000,00</w:t>
            </w:r>
          </w:p>
        </w:tc>
        <w:tc>
          <w:tcPr>
            <w:tcW w:w="1831" w:type="dxa"/>
            <w:tcBorders>
              <w:top w:val="single" w:sz="8" w:space="0" w:color="000000"/>
              <w:left w:val="single" w:sz="2" w:space="0" w:color="000000"/>
              <w:bottom w:val="nil"/>
              <w:right w:val="single" w:sz="2" w:space="0" w:color="000000"/>
            </w:tcBorders>
          </w:tcPr>
          <w:p>
            <w:pPr>
              <w:pStyle w:val="TableParagraph"/>
              <w:ind w:right="57"/>
              <w:rPr>
                <w:sz w:val="16"/>
              </w:rPr>
            </w:pPr>
            <w:r>
              <w:rPr>
                <w:sz w:val="16"/>
              </w:rPr>
              <w:t>94.159,00</w:t>
            </w:r>
          </w:p>
        </w:tc>
        <w:tc>
          <w:tcPr>
            <w:tcW w:w="1105" w:type="dxa"/>
            <w:tcBorders>
              <w:top w:val="single" w:sz="8" w:space="0" w:color="000000"/>
              <w:left w:val="single" w:sz="2" w:space="0" w:color="000000"/>
              <w:bottom w:val="nil"/>
              <w:right w:val="nil"/>
            </w:tcBorders>
          </w:tcPr>
          <w:p>
            <w:pPr>
              <w:pStyle w:val="TableParagraph"/>
              <w:ind w:right="51"/>
              <w:rPr>
                <w:sz w:val="16"/>
              </w:rPr>
            </w:pPr>
            <w:r>
              <w:rPr>
                <w:sz w:val="16"/>
              </w:rPr>
              <w:t>72,43%</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3"/>
      </w:tblGrid>
      <w:tr>
        <w:trPr>
          <w:trHeight w:val="828" w:hRule="atLeast"/>
        </w:trPr>
        <w:tc>
          <w:tcPr>
            <w:tcW w:w="15512" w:type="dxa"/>
            <w:gridSpan w:val="7"/>
            <w:tcBorders>
              <w:left w:val="nil"/>
              <w:bottom w:val="single" w:sz="8" w:space="0" w:color="000000"/>
              <w:right w:val="nil"/>
            </w:tcBorders>
            <w:shd w:val="clear" w:color="auto" w:fill="C0C0C0"/>
          </w:tcPr>
          <w:p>
            <w:pPr>
              <w:pStyle w:val="TableParagraph"/>
              <w:spacing w:before="56"/>
              <w:ind w:left="1443" w:right="1458"/>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68"/>
              <w:jc w:val="center"/>
              <w:rPr>
                <w:rFonts w:ascii="Times New Roman"/>
                <w:sz w:val="22"/>
              </w:rPr>
            </w:pPr>
            <w:r>
              <w:rPr>
                <w:rFonts w:ascii="Times New Roman"/>
                <w:sz w:val="22"/>
              </w:rPr>
              <w:t>POSEBNI DIO - EKONOMSKA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7" w:hanging="5"/>
              <w:jc w:val="center"/>
              <w:rPr>
                <w:sz w:val="20"/>
              </w:rPr>
            </w:pPr>
            <w:r>
              <w:rPr>
                <w:sz w:val="20"/>
              </w:rPr>
              <w:t>Račun/ </w:t>
            </w:r>
            <w:r>
              <w:rPr>
                <w:w w:val="95"/>
                <w:sz w:val="20"/>
              </w:rPr>
              <w:t>Pozicija</w:t>
            </w:r>
          </w:p>
          <w:p>
            <w:pPr>
              <w:pStyle w:val="TableParagraph"/>
              <w:spacing w:before="84"/>
              <w:ind w:left="172"/>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6"/>
              <w:jc w:val="center"/>
              <w:rPr>
                <w:sz w:val="20"/>
              </w:rPr>
            </w:pPr>
            <w:r>
              <w:rPr>
                <w:sz w:val="20"/>
              </w:rPr>
              <w:t>Opis</w:t>
            </w:r>
          </w:p>
          <w:p>
            <w:pPr>
              <w:pStyle w:val="TableParagraph"/>
              <w:spacing w:before="4"/>
              <w:jc w:val="left"/>
              <w:rPr>
                <w:rFonts w:ascii="Times New Roman"/>
                <w:sz w:val="28"/>
              </w:rPr>
            </w:pPr>
          </w:p>
          <w:p>
            <w:pPr>
              <w:pStyle w:val="TableParagraph"/>
              <w:spacing w:before="0"/>
              <w:ind w:left="6"/>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2" w:right="138"/>
              <w:jc w:val="center"/>
              <w:rPr>
                <w:sz w:val="20"/>
              </w:rPr>
            </w:pPr>
            <w:r>
              <w:rPr>
                <w:sz w:val="20"/>
              </w:rPr>
              <w:t>Izvorni plan za 2014. godinu</w:t>
            </w:r>
          </w:p>
          <w:p>
            <w:pPr>
              <w:pStyle w:val="TableParagraph"/>
              <w:spacing w:before="89"/>
              <w:ind w:left="3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1"/>
              <w:jc w:val="center"/>
              <w:rPr>
                <w:sz w:val="20"/>
              </w:rPr>
            </w:pPr>
            <w:r>
              <w:rPr>
                <w:sz w:val="20"/>
              </w:rPr>
              <w:t>Tekući plan za 2014. godinu</w:t>
            </w:r>
          </w:p>
          <w:p>
            <w:pPr>
              <w:pStyle w:val="TableParagraph"/>
              <w:spacing w:before="89"/>
              <w:ind w:left="27"/>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7"/>
              <w:jc w:val="center"/>
              <w:rPr>
                <w:sz w:val="20"/>
              </w:rPr>
            </w:pPr>
            <w:r>
              <w:rPr>
                <w:sz w:val="20"/>
              </w:rPr>
              <w:t>Izvršenje 01.01.-</w:t>
            </w:r>
          </w:p>
          <w:p>
            <w:pPr>
              <w:pStyle w:val="TableParagraph"/>
              <w:spacing w:line="241" w:lineRule="exact" w:before="0"/>
              <w:ind w:left="147" w:right="124"/>
              <w:jc w:val="center"/>
              <w:rPr>
                <w:sz w:val="20"/>
              </w:rPr>
            </w:pPr>
            <w:r>
              <w:rPr>
                <w:sz w:val="20"/>
              </w:rPr>
              <w:t>30.06.2014.</w:t>
            </w:r>
          </w:p>
          <w:p>
            <w:pPr>
              <w:pStyle w:val="TableParagraph"/>
              <w:spacing w:before="90"/>
              <w:ind w:left="22"/>
              <w:jc w:val="center"/>
              <w:rPr>
                <w:sz w:val="18"/>
              </w:rPr>
            </w:pPr>
            <w:r>
              <w:rPr>
                <w:w w:val="100"/>
                <w:sz w:val="18"/>
              </w:rPr>
              <w:t>5</w:t>
            </w:r>
          </w:p>
        </w:tc>
        <w:tc>
          <w:tcPr>
            <w:tcW w:w="1103"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72" w:right="237"/>
              <w:jc w:val="center"/>
              <w:rPr>
                <w:sz w:val="20"/>
              </w:rPr>
            </w:pPr>
            <w:r>
              <w:rPr>
                <w:w w:val="95"/>
                <w:sz w:val="20"/>
              </w:rPr>
              <w:t>Indeks </w:t>
            </w:r>
            <w:r>
              <w:rPr>
                <w:sz w:val="20"/>
              </w:rPr>
              <w:t>5/4</w:t>
            </w:r>
          </w:p>
          <w:p>
            <w:pPr>
              <w:pStyle w:val="TableParagraph"/>
              <w:spacing w:before="89"/>
              <w:ind w:left="38"/>
              <w:jc w:val="center"/>
              <w:rPr>
                <w:sz w:val="18"/>
              </w:rPr>
            </w:pPr>
            <w:r>
              <w:rPr>
                <w:w w:val="100"/>
                <w:sz w:val="18"/>
              </w:rPr>
              <w:t>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426</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4264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Ostala 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740.000,00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381.932,47</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51,61%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Energija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740.000,00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381.932,47</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51,61%</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78.276,25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39,14%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78.276,25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39,14%</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26.697,56</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88,99%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Mat. i dijelovi za tekuće i investicijsko održavanje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26.697,56</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88,99%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397.000,00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397.000,00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184.211,33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46,40%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397.000,00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397.000,00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184.211,33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46,40%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 za redovan rad</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na 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zdravstveno osiguranje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zapošljavanje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zaposlenima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za prijevoz, za rad na terenu i odvojeni život</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12.724,01</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28,28%</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Mat. i dijelovi za tekuće i investicijsko održavanje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12.724,01</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28,28%</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655.000,00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273.359,38</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41,73%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655.000,00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273.359,38</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41,73%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17.950,00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59,83%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4227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Uređaji, strojevi i oprema za ostale namjene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17.950,00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59,83%</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19.452,55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27,79%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19.452,55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27,79%</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80" w:hRule="atLeast"/>
        </w:trPr>
        <w:tc>
          <w:tcPr>
            <w:tcW w:w="734" w:type="dxa"/>
            <w:tcBorders>
              <w:top w:val="single" w:sz="8" w:space="0" w:color="000000"/>
              <w:left w:val="nil"/>
              <w:bottom w:val="nil"/>
              <w:right w:val="single" w:sz="2" w:space="0" w:color="000000"/>
            </w:tcBorders>
          </w:tcPr>
          <w:p>
            <w:pPr>
              <w:pStyle w:val="TableParagraph"/>
              <w:ind w:right="5"/>
              <w:rPr>
                <w:sz w:val="16"/>
              </w:rPr>
            </w:pPr>
            <w:r>
              <w:rPr>
                <w:sz w:val="16"/>
              </w:rPr>
              <w:t>3224</w:t>
            </w:r>
          </w:p>
        </w:tc>
        <w:tc>
          <w:tcPr>
            <w:tcW w:w="402"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9"/>
              <w:jc w:val="left"/>
              <w:rPr>
                <w:sz w:val="16"/>
              </w:rPr>
            </w:pPr>
            <w:r>
              <w:rPr>
                <w:sz w:val="16"/>
              </w:rPr>
              <w:t>Mat. i dijelovi za tekuće i investicijsko održavanje</w:t>
            </w:r>
          </w:p>
        </w:tc>
        <w:tc>
          <w:tcPr>
            <w:tcW w:w="1833" w:type="dxa"/>
            <w:tcBorders>
              <w:top w:val="single" w:sz="8" w:space="0" w:color="000000"/>
              <w:left w:val="single" w:sz="2" w:space="0" w:color="000000"/>
              <w:bottom w:val="nil"/>
              <w:right w:val="single" w:sz="2" w:space="0" w:color="000000"/>
            </w:tcBorders>
          </w:tcPr>
          <w:p>
            <w:pPr>
              <w:pStyle w:val="TableParagraph"/>
              <w:ind w:right="53"/>
              <w:rPr>
                <w:sz w:val="16"/>
              </w:rPr>
            </w:pPr>
            <w:r>
              <w:rPr>
                <w:sz w:val="16"/>
              </w:rPr>
              <w:t>5.000,00</w:t>
            </w:r>
          </w:p>
        </w:tc>
        <w:tc>
          <w:tcPr>
            <w:tcW w:w="1831" w:type="dxa"/>
            <w:tcBorders>
              <w:top w:val="single" w:sz="8" w:space="0" w:color="000000"/>
              <w:left w:val="single" w:sz="2" w:space="0" w:color="000000"/>
              <w:bottom w:val="nil"/>
              <w:right w:val="single" w:sz="2" w:space="0" w:color="000000"/>
            </w:tcBorders>
          </w:tcPr>
          <w:p>
            <w:pPr>
              <w:pStyle w:val="TableParagraph"/>
              <w:ind w:right="55"/>
              <w:rPr>
                <w:sz w:val="16"/>
              </w:rPr>
            </w:pPr>
            <w:r>
              <w:rPr>
                <w:sz w:val="16"/>
              </w:rPr>
              <w:t>5.000,00</w:t>
            </w:r>
          </w:p>
        </w:tc>
        <w:tc>
          <w:tcPr>
            <w:tcW w:w="1831" w:type="dxa"/>
            <w:tcBorders>
              <w:top w:val="single" w:sz="8" w:space="0" w:color="000000"/>
              <w:left w:val="single" w:sz="2" w:space="0" w:color="000000"/>
              <w:bottom w:val="nil"/>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nil"/>
              <w:right w:val="nil"/>
            </w:tcBorders>
          </w:tcPr>
          <w:p>
            <w:pPr>
              <w:pStyle w:val="TableParagraph"/>
              <w:ind w:right="49"/>
              <w:rPr>
                <w:sz w:val="16"/>
              </w:rPr>
            </w:pPr>
            <w:r>
              <w:rPr>
                <w:sz w:val="16"/>
              </w:rPr>
              <w:t>0,00%</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5"/>
      </w:tblGrid>
      <w:tr>
        <w:trPr>
          <w:trHeight w:val="828" w:hRule="atLeast"/>
        </w:trPr>
        <w:tc>
          <w:tcPr>
            <w:tcW w:w="15514" w:type="dxa"/>
            <w:gridSpan w:val="7"/>
            <w:tcBorders>
              <w:left w:val="nil"/>
              <w:bottom w:val="single" w:sz="8" w:space="0" w:color="000000"/>
              <w:right w:val="nil"/>
            </w:tcBorders>
            <w:shd w:val="clear" w:color="auto" w:fill="C0C0C0"/>
          </w:tcPr>
          <w:p>
            <w:pPr>
              <w:pStyle w:val="TableParagraph"/>
              <w:spacing w:before="56"/>
              <w:ind w:left="1443" w:right="1452"/>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363"/>
              <w:jc w:val="center"/>
              <w:rPr>
                <w:rFonts w:ascii="Times New Roman"/>
                <w:sz w:val="22"/>
              </w:rPr>
            </w:pPr>
            <w:r>
              <w:rPr>
                <w:rFonts w:ascii="Times New Roman"/>
                <w:sz w:val="22"/>
              </w:rPr>
              <w:t>POSEBNI DIO - EKONOMSKA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6" w:right="223" w:hanging="5"/>
              <w:jc w:val="center"/>
              <w:rPr>
                <w:sz w:val="20"/>
              </w:rPr>
            </w:pPr>
            <w:r>
              <w:rPr>
                <w:sz w:val="20"/>
              </w:rPr>
              <w:t>Račun/ </w:t>
            </w:r>
            <w:r>
              <w:rPr>
                <w:w w:val="95"/>
                <w:sz w:val="20"/>
              </w:rPr>
              <w:t>Pozicija</w:t>
            </w:r>
          </w:p>
          <w:p>
            <w:pPr>
              <w:pStyle w:val="TableParagraph"/>
              <w:spacing w:before="84"/>
              <w:ind w:left="179"/>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2"/>
              <w:jc w:val="center"/>
              <w:rPr>
                <w:sz w:val="20"/>
              </w:rPr>
            </w:pPr>
            <w:r>
              <w:rPr>
                <w:sz w:val="20"/>
              </w:rPr>
              <w:t>Opis</w:t>
            </w:r>
          </w:p>
          <w:p>
            <w:pPr>
              <w:pStyle w:val="TableParagraph"/>
              <w:spacing w:before="4"/>
              <w:jc w:val="left"/>
              <w:rPr>
                <w:rFonts w:ascii="Times New Roman"/>
                <w:sz w:val="28"/>
              </w:rPr>
            </w:pPr>
          </w:p>
          <w:p>
            <w:pPr>
              <w:pStyle w:val="TableParagraph"/>
              <w:spacing w:before="0"/>
              <w:ind w:left="13"/>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8" w:right="138"/>
              <w:jc w:val="center"/>
              <w:rPr>
                <w:sz w:val="20"/>
              </w:rPr>
            </w:pPr>
            <w:r>
              <w:rPr>
                <w:sz w:val="20"/>
              </w:rPr>
              <w:t>Izvorni plan za 2014. godinu</w:t>
            </w:r>
          </w:p>
          <w:p>
            <w:pPr>
              <w:pStyle w:val="TableParagraph"/>
              <w:spacing w:before="89"/>
              <w:ind w:left="45"/>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2" w:right="131"/>
              <w:jc w:val="center"/>
              <w:rPr>
                <w:sz w:val="20"/>
              </w:rPr>
            </w:pPr>
            <w:r>
              <w:rPr>
                <w:sz w:val="20"/>
              </w:rPr>
              <w:t>Tekući plan za 2014. godinu</w:t>
            </w:r>
          </w:p>
          <w:p>
            <w:pPr>
              <w:pStyle w:val="TableParagraph"/>
              <w:spacing w:before="89"/>
              <w:ind w:left="34"/>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19"/>
              <w:jc w:val="center"/>
              <w:rPr>
                <w:sz w:val="20"/>
              </w:rPr>
            </w:pPr>
            <w:r>
              <w:rPr>
                <w:sz w:val="20"/>
              </w:rPr>
              <w:t>Izvršenje 01.01.-</w:t>
            </w:r>
          </w:p>
          <w:p>
            <w:pPr>
              <w:pStyle w:val="TableParagraph"/>
              <w:spacing w:line="241" w:lineRule="exact" w:before="0"/>
              <w:ind w:left="147" w:right="117"/>
              <w:jc w:val="center"/>
              <w:rPr>
                <w:sz w:val="20"/>
              </w:rPr>
            </w:pPr>
            <w:r>
              <w:rPr>
                <w:sz w:val="20"/>
              </w:rPr>
              <w:t>30.06.2014.</w:t>
            </w:r>
          </w:p>
          <w:p>
            <w:pPr>
              <w:pStyle w:val="TableParagraph"/>
              <w:spacing w:before="90"/>
              <w:ind w:left="29"/>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20"/>
              <w:jc w:val="center"/>
              <w:rPr>
                <w:sz w:val="20"/>
              </w:rPr>
            </w:pPr>
            <w:r>
              <w:rPr>
                <w:w w:val="95"/>
                <w:sz w:val="20"/>
              </w:rPr>
              <w:t>Indeks </w:t>
            </w:r>
            <w:r>
              <w:rPr>
                <w:sz w:val="20"/>
              </w:rPr>
              <w:t>5/4</w:t>
            </w:r>
          </w:p>
          <w:p>
            <w:pPr>
              <w:pStyle w:val="TableParagraph"/>
              <w:spacing w:before="89"/>
              <w:ind w:left="43"/>
              <w:jc w:val="center"/>
              <w:rPr>
                <w:sz w:val="18"/>
              </w:rPr>
            </w:pPr>
            <w:r>
              <w:rPr>
                <w:w w:val="100"/>
                <w:sz w:val="18"/>
              </w:rPr>
              <w:t>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3.447,18</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8,62%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3232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3.447,18</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8,62%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47"/>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63.760,55</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45,54%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3234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47"/>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51.477,95</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46,80%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3236</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Zdravstvene i veterinarske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12.282,60</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40,94%</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1.250,00</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25,00%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3234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1.250,00</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25,00%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386</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Kapitalne pomoći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47"/>
              <w:rPr>
                <w:sz w:val="16"/>
              </w:rPr>
            </w:pPr>
            <w:r>
              <w:rPr>
                <w:sz w:val="16"/>
              </w:rPr>
              <w:t>100.000,00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100.000,00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3861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Kapitalne pomoći bankama i ostalim financijskim institucijama i trgovačkim društvima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47"/>
              <w:rPr>
                <w:sz w:val="16"/>
              </w:rPr>
            </w:pPr>
            <w:r>
              <w:rPr>
                <w:sz w:val="16"/>
              </w:rPr>
              <w:t>100.000,00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100.000,00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351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Subvencije trgovačkim društvima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0,00%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3512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Subvencije trgovačkim društvima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71.000,00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71.000,00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26.800,00</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37,75%</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2"/>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92"/>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71.000,00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71.000,00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26.800,00</w:t>
            </w:r>
          </w:p>
        </w:tc>
        <w:tc>
          <w:tcPr>
            <w:tcW w:w="1105" w:type="dxa"/>
            <w:tcBorders>
              <w:top w:val="single" w:sz="8" w:space="0" w:color="000000"/>
              <w:left w:val="single" w:sz="2" w:space="0" w:color="000000"/>
              <w:bottom w:val="single" w:sz="8" w:space="0" w:color="000000"/>
              <w:right w:val="nil"/>
            </w:tcBorders>
          </w:tcPr>
          <w:p>
            <w:pPr>
              <w:pStyle w:val="TableParagraph"/>
              <w:ind w:right="47"/>
              <w:rPr>
                <w:sz w:val="16"/>
              </w:rPr>
            </w:pPr>
            <w:r>
              <w:rPr>
                <w:sz w:val="16"/>
              </w:rPr>
              <w:t>37,75%</w:t>
            </w:r>
          </w:p>
        </w:tc>
      </w:tr>
      <w:tr>
        <w:trPr>
          <w:trHeight w:val="433" w:hRule="atLeast"/>
        </w:trPr>
        <w:tc>
          <w:tcPr>
            <w:tcW w:w="8914" w:type="dxa"/>
            <w:gridSpan w:val="3"/>
            <w:tcBorders>
              <w:top w:val="single" w:sz="8" w:space="0" w:color="000000"/>
              <w:left w:val="nil"/>
              <w:bottom w:val="single" w:sz="8" w:space="0" w:color="000000"/>
              <w:right w:val="single" w:sz="2" w:space="0" w:color="000000"/>
            </w:tcBorders>
            <w:shd w:val="clear" w:color="auto" w:fill="C0C0C0"/>
          </w:tcPr>
          <w:p>
            <w:pPr>
              <w:pStyle w:val="TableParagraph"/>
              <w:spacing w:before="74"/>
              <w:ind w:left="1231"/>
              <w:jc w:val="left"/>
              <w:rPr>
                <w:rFonts w:ascii="Arial"/>
                <w:sz w:val="24"/>
              </w:rPr>
            </w:pPr>
            <w:r>
              <w:rPr>
                <w:rFonts w:ascii="Arial"/>
                <w:sz w:val="24"/>
              </w:rPr>
              <w:t>UKUPNO</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74"/>
              <w:ind w:right="54"/>
              <w:rPr>
                <w:rFonts w:ascii="Arial"/>
                <w:sz w:val="24"/>
              </w:rPr>
            </w:pPr>
            <w:r>
              <w:rPr>
                <w:rFonts w:ascii="Arial"/>
                <w:sz w:val="24"/>
              </w:rPr>
              <w:t>20.418.660,87</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74"/>
              <w:ind w:right="56"/>
              <w:rPr>
                <w:rFonts w:ascii="Arial"/>
                <w:sz w:val="24"/>
              </w:rPr>
            </w:pPr>
            <w:r>
              <w:rPr>
                <w:rFonts w:ascii="Arial"/>
                <w:sz w:val="24"/>
              </w:rPr>
              <w:t>20.418.660,87</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74"/>
              <w:ind w:right="60"/>
              <w:rPr>
                <w:rFonts w:ascii="Arial"/>
                <w:sz w:val="24"/>
              </w:rPr>
            </w:pPr>
            <w:r>
              <w:rPr>
                <w:rFonts w:ascii="Arial"/>
                <w:sz w:val="24"/>
              </w:rPr>
              <w:t>6.305.627,45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79"/>
              <w:ind w:right="53"/>
              <w:rPr>
                <w:rFonts w:ascii="Arial"/>
                <w:sz w:val="24"/>
              </w:rPr>
            </w:pPr>
            <w:r>
              <w:rPr>
                <w:rFonts w:ascii="Arial"/>
                <w:sz w:val="24"/>
              </w:rPr>
              <w:t>30,88%</w:t>
            </w:r>
          </w:p>
        </w:tc>
      </w:tr>
    </w:tbl>
    <w:p>
      <w:pPr>
        <w:spacing w:after="0"/>
        <w:rPr>
          <w:rFonts w:ascii="Arial"/>
          <w:sz w:val="24"/>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3"/>
        <w:gridCol w:w="114"/>
        <w:gridCol w:w="112"/>
        <w:gridCol w:w="174"/>
        <w:gridCol w:w="7780"/>
        <w:gridCol w:w="1833"/>
        <w:gridCol w:w="1832"/>
        <w:gridCol w:w="1833"/>
        <w:gridCol w:w="1105"/>
      </w:tblGrid>
      <w:tr>
        <w:trPr>
          <w:trHeight w:val="828" w:hRule="atLeast"/>
        </w:trPr>
        <w:tc>
          <w:tcPr>
            <w:tcW w:w="15521" w:type="dxa"/>
            <w:gridSpan w:val="13"/>
            <w:tcBorders>
              <w:left w:val="nil"/>
              <w:bottom w:val="single" w:sz="8" w:space="0" w:color="000000"/>
              <w:right w:val="nil"/>
            </w:tcBorders>
            <w:shd w:val="clear" w:color="auto" w:fill="C0C0C0"/>
          </w:tcPr>
          <w:p>
            <w:pPr>
              <w:pStyle w:val="TableParagraph"/>
              <w:spacing w:before="56"/>
              <w:ind w:left="1443" w:right="1467"/>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428"/>
              <w:jc w:val="center"/>
              <w:rPr>
                <w:rFonts w:ascii="Times New Roman"/>
                <w:sz w:val="22"/>
              </w:rPr>
            </w:pPr>
            <w:r>
              <w:rPr>
                <w:rFonts w:ascii="Times New Roman"/>
                <w:sz w:val="22"/>
              </w:rPr>
              <w:t>POSEBNI DIO- PROGRAMSKA KLASIFIKACIJA</w:t>
            </w:r>
          </w:p>
        </w:tc>
      </w:tr>
      <w:tr>
        <w:trPr>
          <w:trHeight w:val="846" w:hRule="atLeast"/>
        </w:trPr>
        <w:tc>
          <w:tcPr>
            <w:tcW w:w="1138"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9" w:hanging="5"/>
              <w:jc w:val="center"/>
              <w:rPr>
                <w:sz w:val="20"/>
              </w:rPr>
            </w:pPr>
            <w:r>
              <w:rPr>
                <w:sz w:val="20"/>
              </w:rPr>
              <w:t>Račun/ </w:t>
            </w:r>
            <w:r>
              <w:rPr>
                <w:w w:val="95"/>
                <w:sz w:val="20"/>
              </w:rPr>
              <w:t>Pozicija</w:t>
            </w:r>
          </w:p>
          <w:p>
            <w:pPr>
              <w:pStyle w:val="TableParagraph"/>
              <w:spacing w:before="84"/>
              <w:ind w:left="170"/>
              <w:jc w:val="center"/>
              <w:rPr>
                <w:sz w:val="18"/>
              </w:rPr>
            </w:pPr>
            <w:r>
              <w:rPr>
                <w:w w:val="100"/>
                <w:sz w:val="18"/>
              </w:rPr>
              <w:t>1</w:t>
            </w:r>
          </w:p>
        </w:tc>
        <w:tc>
          <w:tcPr>
            <w:tcW w:w="7780"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5" w:right="3674"/>
              <w:jc w:val="center"/>
              <w:rPr>
                <w:sz w:val="20"/>
              </w:rPr>
            </w:pPr>
            <w:r>
              <w:rPr>
                <w:sz w:val="20"/>
              </w:rPr>
              <w:t>Opis</w:t>
            </w:r>
          </w:p>
          <w:p>
            <w:pPr>
              <w:pStyle w:val="TableParagraph"/>
              <w:spacing w:before="4"/>
              <w:jc w:val="left"/>
              <w:rPr>
                <w:rFonts w:ascii="Times New Roman"/>
                <w:sz w:val="28"/>
              </w:rPr>
            </w:pPr>
          </w:p>
          <w:p>
            <w:pPr>
              <w:pStyle w:val="TableParagraph"/>
              <w:spacing w:before="0"/>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4" w:right="138"/>
              <w:jc w:val="center"/>
              <w:rPr>
                <w:sz w:val="20"/>
              </w:rPr>
            </w:pPr>
            <w:r>
              <w:rPr>
                <w:sz w:val="20"/>
              </w:rPr>
              <w:t>Izvorni plan za 2014. godinu</w:t>
            </w:r>
          </w:p>
          <w:p>
            <w:pPr>
              <w:pStyle w:val="TableParagraph"/>
              <w:spacing w:before="89"/>
              <w:ind w:left="30"/>
              <w:jc w:val="center"/>
              <w:rPr>
                <w:sz w:val="18"/>
              </w:rPr>
            </w:pPr>
            <w:r>
              <w:rPr>
                <w:w w:val="100"/>
                <w:sz w:val="18"/>
              </w:rPr>
              <w:t>3</w:t>
            </w:r>
          </w:p>
        </w:tc>
        <w:tc>
          <w:tcPr>
            <w:tcW w:w="183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1" w:right="135"/>
              <w:jc w:val="center"/>
              <w:rPr>
                <w:sz w:val="20"/>
              </w:rPr>
            </w:pPr>
            <w:r>
              <w:rPr>
                <w:sz w:val="20"/>
              </w:rPr>
              <w:t>Tekući plan za 2014. godinu</w:t>
            </w:r>
          </w:p>
          <w:p>
            <w:pPr>
              <w:pStyle w:val="TableParagraph"/>
              <w:spacing w:before="89"/>
              <w:ind w:left="18"/>
              <w:jc w:val="center"/>
              <w:rPr>
                <w:sz w:val="18"/>
              </w:rPr>
            </w:pPr>
            <w:r>
              <w:rPr>
                <w:w w:val="100"/>
                <w:sz w:val="18"/>
              </w:rPr>
              <w:t>4</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6" w:right="138"/>
              <w:jc w:val="center"/>
              <w:rPr>
                <w:sz w:val="20"/>
              </w:rPr>
            </w:pPr>
            <w:r>
              <w:rPr>
                <w:sz w:val="20"/>
              </w:rPr>
              <w:t>Izvršenje 01.01.-</w:t>
            </w:r>
          </w:p>
          <w:p>
            <w:pPr>
              <w:pStyle w:val="TableParagraph"/>
              <w:spacing w:line="241" w:lineRule="exact" w:before="0"/>
              <w:ind w:left="146" w:right="135"/>
              <w:jc w:val="center"/>
              <w:rPr>
                <w:sz w:val="20"/>
              </w:rPr>
            </w:pPr>
            <w:r>
              <w:rPr>
                <w:sz w:val="20"/>
              </w:rPr>
              <w:t>30.06.2014.</w:t>
            </w:r>
          </w:p>
          <w:p>
            <w:pPr>
              <w:pStyle w:val="TableParagraph"/>
              <w:spacing w:before="90"/>
              <w:ind w:left="10"/>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4" w:right="235"/>
              <w:jc w:val="center"/>
              <w:rPr>
                <w:sz w:val="20"/>
              </w:rPr>
            </w:pPr>
            <w:r>
              <w:rPr>
                <w:w w:val="95"/>
                <w:sz w:val="20"/>
              </w:rPr>
              <w:t>Indeks </w:t>
            </w:r>
            <w:r>
              <w:rPr>
                <w:sz w:val="20"/>
              </w:rPr>
              <w:t>5/4</w:t>
            </w:r>
          </w:p>
          <w:p>
            <w:pPr>
              <w:pStyle w:val="TableParagraph"/>
              <w:spacing w:before="89"/>
              <w:ind w:left="22"/>
              <w:jc w:val="center"/>
              <w:rPr>
                <w:sz w:val="18"/>
              </w:rPr>
            </w:pPr>
            <w:r>
              <w:rPr>
                <w:w w:val="100"/>
                <w:sz w:val="18"/>
              </w:rPr>
              <w:t>6</w:t>
            </w:r>
          </w:p>
        </w:tc>
      </w:tr>
      <w:tr>
        <w:trPr>
          <w:trHeight w:val="505" w:hRule="atLeast"/>
        </w:trPr>
        <w:tc>
          <w:tcPr>
            <w:tcW w:w="1138" w:type="dxa"/>
            <w:gridSpan w:val="8"/>
            <w:tcBorders>
              <w:top w:val="single" w:sz="8" w:space="0" w:color="000000"/>
              <w:left w:val="nil"/>
              <w:bottom w:val="single" w:sz="8" w:space="0" w:color="000000"/>
              <w:right w:val="single" w:sz="2" w:space="0" w:color="000000"/>
            </w:tcBorders>
            <w:shd w:val="clear" w:color="auto" w:fill="656599"/>
          </w:tcPr>
          <w:p>
            <w:pPr>
              <w:pStyle w:val="TableParagraph"/>
              <w:spacing w:before="9"/>
              <w:ind w:left="27"/>
              <w:jc w:val="left"/>
              <w:rPr>
                <w:rFonts w:ascii="Verdana"/>
                <w:sz w:val="16"/>
              </w:rPr>
            </w:pPr>
            <w:r>
              <w:rPr>
                <w:rFonts w:ascii="Verdana"/>
                <w:sz w:val="16"/>
              </w:rPr>
              <w:t>RAZDJEL</w:t>
            </w:r>
          </w:p>
          <w:p>
            <w:pPr>
              <w:pStyle w:val="TableParagraph"/>
              <w:spacing w:line="193" w:lineRule="exact" w:before="89"/>
              <w:ind w:right="6"/>
              <w:rPr>
                <w:rFonts w:ascii="Verdana"/>
                <w:sz w:val="16"/>
              </w:rPr>
            </w:pPr>
            <w:r>
              <w:rPr>
                <w:rFonts w:ascii="Verdana"/>
                <w:sz w:val="16"/>
              </w:rPr>
              <w:t>001</w:t>
            </w:r>
          </w:p>
        </w:tc>
        <w:tc>
          <w:tcPr>
            <w:tcW w:w="7780"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79"/>
              <w:jc w:val="left"/>
              <w:rPr>
                <w:rFonts w:ascii="Verdana" w:hAnsi="Verdana"/>
                <w:sz w:val="20"/>
              </w:rPr>
            </w:pPr>
            <w:r>
              <w:rPr>
                <w:rFonts w:ascii="Verdana" w:hAnsi="Verdana"/>
                <w:sz w:val="20"/>
              </w:rPr>
              <w:t>GRADSKO VIJEĆE, URED GRADONAČELNIKA</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2"/>
              <w:rPr>
                <w:rFonts w:ascii="Verdana"/>
                <w:sz w:val="20"/>
              </w:rPr>
            </w:pPr>
            <w:r>
              <w:rPr>
                <w:rFonts w:ascii="Verdana"/>
                <w:sz w:val="20"/>
              </w:rPr>
              <w:t>241.000,00</w:t>
            </w:r>
          </w:p>
        </w:tc>
        <w:tc>
          <w:tcPr>
            <w:tcW w:w="1832"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5"/>
              <w:rPr>
                <w:rFonts w:ascii="Verdana"/>
                <w:sz w:val="20"/>
              </w:rPr>
            </w:pPr>
            <w:r>
              <w:rPr>
                <w:rFonts w:ascii="Verdana"/>
                <w:sz w:val="20"/>
              </w:rPr>
              <w:t>296.000,00</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81"/>
              <w:rPr>
                <w:rFonts w:ascii="Verdana"/>
                <w:sz w:val="20"/>
              </w:rPr>
            </w:pPr>
            <w:r>
              <w:rPr>
                <w:rFonts w:ascii="Verdana"/>
                <w:sz w:val="20"/>
              </w:rPr>
              <w:t>221.679,25</w:t>
            </w:r>
          </w:p>
        </w:tc>
        <w:tc>
          <w:tcPr>
            <w:tcW w:w="1105"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65"/>
              <w:rPr>
                <w:rFonts w:ascii="Verdana"/>
                <w:sz w:val="20"/>
              </w:rPr>
            </w:pPr>
            <w:r>
              <w:rPr>
                <w:rFonts w:ascii="Verdana"/>
                <w:sz w:val="20"/>
              </w:rPr>
              <w:t>74,89%</w:t>
            </w:r>
          </w:p>
        </w:tc>
      </w:tr>
      <w:tr>
        <w:trPr>
          <w:trHeight w:val="503" w:hRule="atLeast"/>
        </w:trPr>
        <w:tc>
          <w:tcPr>
            <w:tcW w:w="1138" w:type="dxa"/>
            <w:gridSpan w:val="8"/>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jc w:val="left"/>
              <w:rPr>
                <w:rFonts w:ascii="Verdana"/>
                <w:sz w:val="16"/>
              </w:rPr>
            </w:pPr>
            <w:r>
              <w:rPr>
                <w:rFonts w:ascii="Verdana"/>
                <w:sz w:val="16"/>
              </w:rPr>
              <w:t>00101</w:t>
            </w:r>
          </w:p>
        </w:tc>
        <w:tc>
          <w:tcPr>
            <w:tcW w:w="778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9"/>
              <w:jc w:val="left"/>
              <w:rPr>
                <w:rFonts w:ascii="Verdana" w:hAnsi="Verdana"/>
                <w:sz w:val="20"/>
              </w:rPr>
            </w:pPr>
            <w:r>
              <w:rPr>
                <w:rFonts w:ascii="Verdana" w:hAnsi="Verdana"/>
                <w:sz w:val="20"/>
              </w:rPr>
              <w:t>GRADSKO VIJEĆE, URED GRADONAČELNIKA</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2"/>
              <w:rPr>
                <w:rFonts w:ascii="Verdana"/>
                <w:sz w:val="20"/>
              </w:rPr>
            </w:pPr>
            <w:r>
              <w:rPr>
                <w:rFonts w:ascii="Verdana"/>
                <w:sz w:val="20"/>
              </w:rPr>
              <w:t>241.000,00</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5"/>
              <w:rPr>
                <w:rFonts w:ascii="Verdana"/>
                <w:sz w:val="20"/>
              </w:rPr>
            </w:pPr>
            <w:r>
              <w:rPr>
                <w:rFonts w:ascii="Verdana"/>
                <w:sz w:val="20"/>
              </w:rPr>
              <w:t>296.000,00</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1"/>
              <w:rPr>
                <w:rFonts w:ascii="Verdana"/>
                <w:sz w:val="20"/>
              </w:rPr>
            </w:pPr>
            <w:r>
              <w:rPr>
                <w:rFonts w:ascii="Verdana"/>
                <w:sz w:val="20"/>
              </w:rPr>
              <w:t>221.679,25</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5"/>
              <w:rPr>
                <w:rFonts w:ascii="Verdana"/>
                <w:sz w:val="20"/>
              </w:rPr>
            </w:pPr>
            <w:r>
              <w:rPr>
                <w:rFonts w:ascii="Verdana"/>
                <w:sz w:val="20"/>
              </w:rPr>
              <w:t>74,89%</w:t>
            </w:r>
          </w:p>
        </w:tc>
      </w:tr>
      <w:tr>
        <w:trPr>
          <w:trHeight w:val="505" w:hRule="atLeast"/>
        </w:trPr>
        <w:tc>
          <w:tcPr>
            <w:tcW w:w="1138"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1011</w:t>
            </w:r>
          </w:p>
        </w:tc>
        <w:tc>
          <w:tcPr>
            <w:tcW w:w="7780"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9"/>
              <w:jc w:val="left"/>
              <w:rPr>
                <w:rFonts w:ascii="Verdana" w:hAnsi="Verdana"/>
                <w:sz w:val="20"/>
              </w:rPr>
            </w:pPr>
            <w:r>
              <w:rPr>
                <w:rFonts w:ascii="Verdana" w:hAnsi="Verdana"/>
                <w:sz w:val="20"/>
              </w:rPr>
              <w:t>REDOVNA DJELATNOST GRADSKOG VIJEĆA I UREDA GRADONAČELNIKA</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2"/>
              <w:rPr>
                <w:rFonts w:ascii="Verdana"/>
                <w:sz w:val="20"/>
              </w:rPr>
            </w:pPr>
            <w:r>
              <w:rPr>
                <w:rFonts w:ascii="Verdana"/>
                <w:sz w:val="20"/>
              </w:rPr>
              <w:t>241.000,00</w:t>
            </w:r>
          </w:p>
        </w:tc>
        <w:tc>
          <w:tcPr>
            <w:tcW w:w="1832"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5"/>
              <w:rPr>
                <w:rFonts w:ascii="Verdana"/>
                <w:sz w:val="20"/>
              </w:rPr>
            </w:pPr>
            <w:r>
              <w:rPr>
                <w:rFonts w:ascii="Verdana"/>
                <w:sz w:val="20"/>
              </w:rPr>
              <w:t>296.000,00</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81"/>
              <w:rPr>
                <w:rFonts w:ascii="Verdana"/>
                <w:sz w:val="20"/>
              </w:rPr>
            </w:pPr>
            <w:r>
              <w:rPr>
                <w:rFonts w:ascii="Verdana"/>
                <w:sz w:val="20"/>
              </w:rPr>
              <w:t>221.679,25</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5"/>
              <w:rPr>
                <w:rFonts w:ascii="Verdana"/>
                <w:sz w:val="20"/>
              </w:rPr>
            </w:pPr>
            <w:r>
              <w:rPr>
                <w:rFonts w:ascii="Verdana"/>
                <w:sz w:val="20"/>
              </w:rPr>
              <w:t>74,89%</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9"/>
                <w:sz w:val="16"/>
              </w:rPr>
              <w:t> </w:t>
            </w:r>
            <w:r>
              <w:rPr>
                <w:rFonts w:ascii="Verdana"/>
                <w:spacing w:val="-3"/>
                <w:sz w:val="16"/>
              </w:rPr>
              <w:t>A100110</w:t>
            </w:r>
          </w:p>
        </w:tc>
        <w:tc>
          <w:tcPr>
            <w:tcW w:w="7780"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hAnsi="Verdana"/>
                <w:sz w:val="16"/>
              </w:rPr>
            </w:pPr>
            <w:r>
              <w:rPr>
                <w:rFonts w:ascii="Verdana" w:hAnsi="Verdana"/>
                <w:sz w:val="16"/>
              </w:rPr>
              <w:t>POSLOVANJE GRADSKOG VIJEĆA</w:t>
            </w:r>
          </w:p>
          <w:p>
            <w:pPr>
              <w:pStyle w:val="TableParagraph"/>
              <w:spacing w:before="45"/>
              <w:ind w:left="79"/>
              <w:jc w:val="left"/>
              <w:rPr>
                <w:sz w:val="14"/>
              </w:rPr>
            </w:pPr>
            <w:r>
              <w:rPr>
                <w:sz w:val="14"/>
              </w:rPr>
              <w:t>Funkcija: 0111 Izvršna i zakonodavna tijela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9"/>
              <w:jc w:val="left"/>
              <w:rPr>
                <w:rFonts w:ascii="Verdana"/>
                <w:sz w:val="16"/>
              </w:rPr>
            </w:pPr>
            <w:r>
              <w:rPr>
                <w:rFonts w:ascii="Verdana"/>
                <w:sz w:val="16"/>
              </w:rPr>
              <w:t>85.000,00</w:t>
            </w:r>
          </w:p>
        </w:tc>
        <w:tc>
          <w:tcPr>
            <w:tcW w:w="1832"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4"/>
              <w:jc w:val="left"/>
              <w:rPr>
                <w:rFonts w:ascii="Verdana"/>
                <w:sz w:val="16"/>
              </w:rPr>
            </w:pPr>
            <w:r>
              <w:rPr>
                <w:rFonts w:ascii="Verdana"/>
                <w:sz w:val="16"/>
              </w:rPr>
              <w:t>140.000,00</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0"/>
              <w:jc w:val="left"/>
              <w:rPr>
                <w:rFonts w:ascii="Verdana"/>
                <w:sz w:val="16"/>
              </w:rPr>
            </w:pPr>
            <w:r>
              <w:rPr>
                <w:rFonts w:ascii="Verdana"/>
                <w:sz w:val="16"/>
              </w:rPr>
              <w:t>124.180,27</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3"/>
              <w:jc w:val="left"/>
              <w:rPr>
                <w:rFonts w:ascii="Verdana"/>
                <w:sz w:val="16"/>
              </w:rPr>
            </w:pPr>
            <w:r>
              <w:rPr>
                <w:rFonts w:ascii="Verdana"/>
                <w:sz w:val="16"/>
              </w:rPr>
              <w:t>88,70%</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80"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2"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329</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spacing w:before="5"/>
              <w:ind w:left="87"/>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7"/>
              <w:rPr>
                <w:sz w:val="16"/>
              </w:rPr>
            </w:pPr>
            <w:r>
              <w:rPr>
                <w:sz w:val="16"/>
              </w:rPr>
              <w:t>85.000,00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5"/>
              <w:ind w:right="60"/>
              <w:rPr>
                <w:sz w:val="16"/>
              </w:rPr>
            </w:pPr>
            <w:r>
              <w:rPr>
                <w:sz w:val="16"/>
              </w:rPr>
              <w:t>140.000,00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64"/>
              <w:rPr>
                <w:sz w:val="16"/>
              </w:rPr>
            </w:pPr>
            <w:r>
              <w:rPr>
                <w:sz w:val="16"/>
              </w:rPr>
              <w:t>124.180,27</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8"/>
              <w:rPr>
                <w:sz w:val="16"/>
              </w:rPr>
            </w:pPr>
            <w:r>
              <w:rPr>
                <w:sz w:val="16"/>
              </w:rPr>
              <w:t>88,70%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Naknade za rad predstavničkih i izvršnih tijela, povjerenstava i slično</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85.000,00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140.000,00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124.180,27</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88,70%</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9"/>
                <w:sz w:val="16"/>
              </w:rPr>
              <w:t> </w:t>
            </w:r>
            <w:r>
              <w:rPr>
                <w:rFonts w:ascii="Verdana"/>
                <w:spacing w:val="-3"/>
                <w:sz w:val="16"/>
              </w:rPr>
              <w:t>A100111</w:t>
            </w:r>
          </w:p>
        </w:tc>
        <w:tc>
          <w:tcPr>
            <w:tcW w:w="7780"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hAnsi="Verdana"/>
                <w:sz w:val="16"/>
              </w:rPr>
            </w:pPr>
            <w:r>
              <w:rPr>
                <w:rFonts w:ascii="Verdana" w:hAnsi="Verdana"/>
                <w:sz w:val="16"/>
              </w:rPr>
              <w:t>POSLOVANJE UREDA GRADONAČELNIKA</w:t>
            </w:r>
          </w:p>
          <w:p>
            <w:pPr>
              <w:pStyle w:val="TableParagraph"/>
              <w:spacing w:before="45"/>
              <w:ind w:left="79"/>
              <w:jc w:val="left"/>
              <w:rPr>
                <w:sz w:val="14"/>
              </w:rPr>
            </w:pPr>
            <w:r>
              <w:rPr>
                <w:sz w:val="14"/>
              </w:rPr>
              <w:t>Funkcija: 0110 Ured Gradonačelnika/načelnika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8"/>
              <w:jc w:val="left"/>
              <w:rPr>
                <w:rFonts w:ascii="Verdana"/>
                <w:sz w:val="16"/>
              </w:rPr>
            </w:pPr>
            <w:r>
              <w:rPr>
                <w:rFonts w:ascii="Verdana"/>
                <w:sz w:val="16"/>
              </w:rPr>
              <w:t>125.000,00</w:t>
            </w:r>
          </w:p>
        </w:tc>
        <w:tc>
          <w:tcPr>
            <w:tcW w:w="1832"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4"/>
              <w:jc w:val="left"/>
              <w:rPr>
                <w:rFonts w:ascii="Verdana"/>
                <w:sz w:val="16"/>
              </w:rPr>
            </w:pPr>
            <w:r>
              <w:rPr>
                <w:rFonts w:ascii="Verdana"/>
                <w:sz w:val="16"/>
              </w:rPr>
              <w:t>125.000,00</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49"/>
              <w:jc w:val="left"/>
              <w:rPr>
                <w:rFonts w:ascii="Verdana"/>
                <w:sz w:val="16"/>
              </w:rPr>
            </w:pPr>
            <w:r>
              <w:rPr>
                <w:rFonts w:ascii="Verdana"/>
                <w:sz w:val="16"/>
              </w:rPr>
              <w:t>66.498,98</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3"/>
              <w:jc w:val="left"/>
              <w:rPr>
                <w:rFonts w:ascii="Verdana"/>
                <w:sz w:val="16"/>
              </w:rPr>
            </w:pPr>
            <w:r>
              <w:rPr>
                <w:rFonts w:ascii="Verdana"/>
                <w:sz w:val="16"/>
              </w:rPr>
              <w:t>53,20%</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80"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2"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329</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spacing w:before="5"/>
              <w:ind w:left="87"/>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5"/>
              <w:rPr>
                <w:sz w:val="16"/>
              </w:rPr>
            </w:pPr>
            <w:r>
              <w:rPr>
                <w:sz w:val="16"/>
              </w:rPr>
              <w:t>125.000,00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5"/>
              <w:ind w:right="60"/>
              <w:rPr>
                <w:sz w:val="16"/>
              </w:rPr>
            </w:pPr>
            <w:r>
              <w:rPr>
                <w:sz w:val="16"/>
              </w:rPr>
              <w:t>125.000,00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64"/>
              <w:rPr>
                <w:sz w:val="16"/>
              </w:rPr>
            </w:pPr>
            <w:r>
              <w:rPr>
                <w:sz w:val="16"/>
              </w:rPr>
              <w:t>66.498,98</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8"/>
              <w:rPr>
                <w:sz w:val="16"/>
              </w:rPr>
            </w:pPr>
            <w:r>
              <w:rPr>
                <w:sz w:val="16"/>
              </w:rPr>
              <w:t>53,20%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Naknade za rad predstavničkih i izvršnih tijela, povjerenstava i slično</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55.000,00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55.000,00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29.360,87</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53,38%</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Reprezentacija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65.000,00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35.730,11</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54,97%</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3299</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5.000,00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7"/>
              <w:rPr>
                <w:sz w:val="16"/>
              </w:rPr>
            </w:pPr>
            <w:r>
              <w:rPr>
                <w:sz w:val="16"/>
              </w:rPr>
              <w:t>1.408,00</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28,16%</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9"/>
                <w:sz w:val="16"/>
              </w:rPr>
              <w:t> </w:t>
            </w:r>
            <w:r>
              <w:rPr>
                <w:rFonts w:ascii="Verdana"/>
                <w:spacing w:val="-3"/>
                <w:sz w:val="16"/>
              </w:rPr>
              <w:t>A100113</w:t>
            </w:r>
          </w:p>
        </w:tc>
        <w:tc>
          <w:tcPr>
            <w:tcW w:w="7780"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hAnsi="Verdana"/>
                <w:sz w:val="16"/>
              </w:rPr>
            </w:pPr>
            <w:r>
              <w:rPr>
                <w:rFonts w:ascii="Verdana" w:hAnsi="Verdana"/>
                <w:w w:val="105"/>
                <w:sz w:val="16"/>
              </w:rPr>
              <w:t>DONACIJE POLITIČKIM STRANKAMA</w:t>
            </w:r>
          </w:p>
          <w:p>
            <w:pPr>
              <w:pStyle w:val="TableParagraph"/>
              <w:spacing w:before="45"/>
              <w:ind w:left="79"/>
              <w:jc w:val="left"/>
              <w:rPr>
                <w:sz w:val="14"/>
              </w:rPr>
            </w:pPr>
            <w:r>
              <w:rPr>
                <w:sz w:val="14"/>
              </w:rPr>
              <w:t>Funkcija: 0111 Izvršna i zakonodavna tijela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9"/>
              <w:jc w:val="left"/>
              <w:rPr>
                <w:rFonts w:ascii="Verdana"/>
                <w:sz w:val="16"/>
              </w:rPr>
            </w:pPr>
            <w:r>
              <w:rPr>
                <w:rFonts w:ascii="Verdana"/>
                <w:sz w:val="16"/>
              </w:rPr>
              <w:t>31.000,00</w:t>
            </w:r>
          </w:p>
        </w:tc>
        <w:tc>
          <w:tcPr>
            <w:tcW w:w="1832"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4"/>
              <w:jc w:val="left"/>
              <w:rPr>
                <w:rFonts w:ascii="Verdana"/>
                <w:sz w:val="16"/>
              </w:rPr>
            </w:pPr>
            <w:r>
              <w:rPr>
                <w:rFonts w:ascii="Verdana"/>
                <w:sz w:val="16"/>
              </w:rPr>
              <w:t>31.000,00</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49"/>
              <w:jc w:val="left"/>
              <w:rPr>
                <w:rFonts w:ascii="Verdana"/>
                <w:sz w:val="16"/>
              </w:rPr>
            </w:pPr>
            <w:r>
              <w:rPr>
                <w:rFonts w:ascii="Verdana"/>
                <w:sz w:val="16"/>
              </w:rPr>
              <w:t>31.000,00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294"/>
              <w:jc w:val="left"/>
              <w:rPr>
                <w:rFonts w:ascii="Verdana"/>
                <w:sz w:val="16"/>
              </w:rPr>
            </w:pPr>
            <w:r>
              <w:rPr>
                <w:rFonts w:ascii="Verdana"/>
                <w:sz w:val="16"/>
              </w:rPr>
              <w:t>100,00%</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80"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2"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381</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spacing w:before="5"/>
              <w:ind w:left="87"/>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7"/>
              <w:rPr>
                <w:sz w:val="16"/>
              </w:rPr>
            </w:pPr>
            <w:r>
              <w:rPr>
                <w:sz w:val="16"/>
              </w:rPr>
              <w:t>31.000,00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5"/>
              <w:ind w:right="60"/>
              <w:rPr>
                <w:sz w:val="16"/>
              </w:rPr>
            </w:pPr>
            <w:r>
              <w:rPr>
                <w:sz w:val="16"/>
              </w:rPr>
              <w:t>31.000,00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64"/>
              <w:rPr>
                <w:sz w:val="16"/>
              </w:rPr>
            </w:pPr>
            <w:r>
              <w:rPr>
                <w:sz w:val="16"/>
              </w:rPr>
              <w:t>31.000,00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8"/>
              <w:rPr>
                <w:sz w:val="16"/>
              </w:rPr>
            </w:pPr>
            <w:r>
              <w:rPr>
                <w:sz w:val="16"/>
              </w:rPr>
              <w:t>100,00%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3811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31.000,00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31.000,00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31.000,00</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100,00%</w:t>
            </w:r>
          </w:p>
        </w:tc>
      </w:tr>
      <w:tr>
        <w:trPr>
          <w:trHeight w:val="505" w:hRule="atLeast"/>
        </w:trPr>
        <w:tc>
          <w:tcPr>
            <w:tcW w:w="1138" w:type="dxa"/>
            <w:gridSpan w:val="8"/>
            <w:tcBorders>
              <w:top w:val="single" w:sz="8" w:space="0" w:color="000000"/>
              <w:left w:val="nil"/>
              <w:bottom w:val="single" w:sz="8" w:space="0" w:color="000000"/>
              <w:right w:val="single" w:sz="2" w:space="0" w:color="000000"/>
            </w:tcBorders>
            <w:shd w:val="clear" w:color="auto" w:fill="656599"/>
          </w:tcPr>
          <w:p>
            <w:pPr>
              <w:pStyle w:val="TableParagraph"/>
              <w:spacing w:before="9"/>
              <w:ind w:left="27"/>
              <w:jc w:val="left"/>
              <w:rPr>
                <w:rFonts w:ascii="Verdana"/>
                <w:sz w:val="16"/>
              </w:rPr>
            </w:pPr>
            <w:r>
              <w:rPr>
                <w:rFonts w:ascii="Verdana"/>
                <w:sz w:val="16"/>
              </w:rPr>
              <w:t>RAZDJEL</w:t>
            </w:r>
          </w:p>
          <w:p>
            <w:pPr>
              <w:pStyle w:val="TableParagraph"/>
              <w:spacing w:line="193" w:lineRule="exact" w:before="89"/>
              <w:ind w:right="6"/>
              <w:rPr>
                <w:rFonts w:ascii="Verdana"/>
                <w:sz w:val="16"/>
              </w:rPr>
            </w:pPr>
            <w:r>
              <w:rPr>
                <w:rFonts w:ascii="Verdana"/>
                <w:sz w:val="16"/>
              </w:rPr>
              <w:t>002</w:t>
            </w:r>
          </w:p>
        </w:tc>
        <w:tc>
          <w:tcPr>
            <w:tcW w:w="7780"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79"/>
              <w:jc w:val="left"/>
              <w:rPr>
                <w:rFonts w:ascii="Verdana" w:hAnsi="Verdana"/>
                <w:sz w:val="20"/>
              </w:rPr>
            </w:pPr>
            <w:r>
              <w:rPr>
                <w:rFonts w:ascii="Verdana" w:hAnsi="Verdana"/>
                <w:sz w:val="20"/>
              </w:rPr>
              <w:t>UPRAVNI ODJEL ZA OPĆE POSLOVE I DRUŠTVENE DJELATNOSTI</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4"/>
              <w:rPr>
                <w:rFonts w:ascii="Verdana"/>
                <w:sz w:val="20"/>
              </w:rPr>
            </w:pPr>
            <w:r>
              <w:rPr>
                <w:rFonts w:ascii="Verdana"/>
                <w:sz w:val="20"/>
              </w:rPr>
              <w:t>5.463.952,96</w:t>
            </w:r>
          </w:p>
        </w:tc>
        <w:tc>
          <w:tcPr>
            <w:tcW w:w="1832"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7"/>
              <w:rPr>
                <w:rFonts w:ascii="Verdana"/>
                <w:sz w:val="20"/>
              </w:rPr>
            </w:pPr>
            <w:r>
              <w:rPr>
                <w:rFonts w:ascii="Verdana"/>
                <w:sz w:val="20"/>
              </w:rPr>
              <w:t>5.463.952,96</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83"/>
              <w:rPr>
                <w:rFonts w:ascii="Verdana"/>
                <w:sz w:val="20"/>
              </w:rPr>
            </w:pPr>
            <w:r>
              <w:rPr>
                <w:rFonts w:ascii="Verdana"/>
                <w:sz w:val="20"/>
              </w:rPr>
              <w:t>2.528.439,06</w:t>
            </w:r>
          </w:p>
        </w:tc>
        <w:tc>
          <w:tcPr>
            <w:tcW w:w="1105"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65"/>
              <w:rPr>
                <w:rFonts w:ascii="Verdana"/>
                <w:sz w:val="20"/>
              </w:rPr>
            </w:pPr>
            <w:r>
              <w:rPr>
                <w:rFonts w:ascii="Verdana"/>
                <w:sz w:val="20"/>
              </w:rPr>
              <w:t>46,27%</w:t>
            </w:r>
          </w:p>
        </w:tc>
      </w:tr>
      <w:tr>
        <w:trPr>
          <w:trHeight w:val="503" w:hRule="atLeast"/>
        </w:trPr>
        <w:tc>
          <w:tcPr>
            <w:tcW w:w="1138" w:type="dxa"/>
            <w:gridSpan w:val="8"/>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jc w:val="left"/>
              <w:rPr>
                <w:rFonts w:ascii="Verdana"/>
                <w:sz w:val="16"/>
              </w:rPr>
            </w:pPr>
            <w:r>
              <w:rPr>
                <w:rFonts w:ascii="Verdana"/>
                <w:sz w:val="16"/>
              </w:rPr>
              <w:t>00201</w:t>
            </w:r>
          </w:p>
        </w:tc>
        <w:tc>
          <w:tcPr>
            <w:tcW w:w="778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9"/>
              <w:jc w:val="left"/>
              <w:rPr>
                <w:rFonts w:ascii="Verdana" w:hAnsi="Verdana"/>
                <w:sz w:val="20"/>
              </w:rPr>
            </w:pPr>
            <w:r>
              <w:rPr>
                <w:rFonts w:ascii="Verdana" w:hAnsi="Verdana"/>
                <w:sz w:val="20"/>
              </w:rPr>
              <w:t>UO ZA OPĆE POSLOVE I DRUŠTVENE DJELATNOSTI</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4"/>
              <w:rPr>
                <w:rFonts w:ascii="Verdana"/>
                <w:sz w:val="20"/>
              </w:rPr>
            </w:pPr>
            <w:r>
              <w:rPr>
                <w:rFonts w:ascii="Verdana"/>
                <w:sz w:val="20"/>
              </w:rPr>
              <w:t>1.235.000,00</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7"/>
              <w:rPr>
                <w:rFonts w:ascii="Verdana"/>
                <w:sz w:val="20"/>
              </w:rPr>
            </w:pPr>
            <w:r>
              <w:rPr>
                <w:rFonts w:ascii="Verdana"/>
                <w:sz w:val="20"/>
              </w:rPr>
              <w:t>1.235.000,00</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81"/>
              <w:rPr>
                <w:rFonts w:ascii="Verdana"/>
                <w:sz w:val="20"/>
              </w:rPr>
            </w:pPr>
            <w:r>
              <w:rPr>
                <w:rFonts w:ascii="Verdana"/>
                <w:sz w:val="20"/>
              </w:rPr>
              <w:t>682.123,23</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5"/>
              <w:rPr>
                <w:rFonts w:ascii="Verdana"/>
                <w:sz w:val="20"/>
              </w:rPr>
            </w:pPr>
            <w:r>
              <w:rPr>
                <w:rFonts w:ascii="Verdana"/>
                <w:sz w:val="20"/>
              </w:rPr>
              <w:t>55,23%</w:t>
            </w:r>
          </w:p>
        </w:tc>
      </w:tr>
      <w:tr>
        <w:trPr>
          <w:trHeight w:val="505" w:hRule="atLeast"/>
        </w:trPr>
        <w:tc>
          <w:tcPr>
            <w:tcW w:w="1138"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2016</w:t>
            </w:r>
          </w:p>
        </w:tc>
        <w:tc>
          <w:tcPr>
            <w:tcW w:w="7780"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9"/>
              <w:jc w:val="left"/>
              <w:rPr>
                <w:rFonts w:ascii="Verdana"/>
                <w:sz w:val="20"/>
              </w:rPr>
            </w:pPr>
            <w:r>
              <w:rPr>
                <w:rFonts w:ascii="Verdana"/>
                <w:sz w:val="20"/>
              </w:rPr>
              <w:t>PROGRAM JAVNIH POTREBA U KULTURI</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2"/>
              <w:rPr>
                <w:rFonts w:ascii="Verdana"/>
                <w:sz w:val="20"/>
              </w:rPr>
            </w:pPr>
            <w:r>
              <w:rPr>
                <w:rFonts w:ascii="Verdana"/>
                <w:sz w:val="20"/>
              </w:rPr>
              <w:t>268.000,00</w:t>
            </w:r>
          </w:p>
        </w:tc>
        <w:tc>
          <w:tcPr>
            <w:tcW w:w="1832"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5"/>
              <w:rPr>
                <w:rFonts w:ascii="Verdana"/>
                <w:sz w:val="20"/>
              </w:rPr>
            </w:pPr>
            <w:r>
              <w:rPr>
                <w:rFonts w:ascii="Verdana"/>
                <w:sz w:val="20"/>
              </w:rPr>
              <w:t>268.000,00</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81"/>
              <w:rPr>
                <w:rFonts w:ascii="Verdana"/>
                <w:sz w:val="20"/>
              </w:rPr>
            </w:pPr>
            <w:r>
              <w:rPr>
                <w:rFonts w:ascii="Verdana"/>
                <w:sz w:val="20"/>
              </w:rPr>
              <w:t>149.900,00</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5"/>
              <w:rPr>
                <w:rFonts w:ascii="Verdana"/>
                <w:sz w:val="20"/>
              </w:rPr>
            </w:pPr>
            <w:r>
              <w:rPr>
                <w:rFonts w:ascii="Verdana"/>
                <w:sz w:val="20"/>
              </w:rPr>
              <w:t>55,93%</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9"/>
                <w:sz w:val="16"/>
              </w:rPr>
              <w:t> </w:t>
            </w:r>
            <w:r>
              <w:rPr>
                <w:rFonts w:ascii="Verdana"/>
                <w:spacing w:val="-3"/>
                <w:sz w:val="16"/>
              </w:rPr>
              <w:t>A201610</w:t>
            </w:r>
          </w:p>
        </w:tc>
        <w:tc>
          <w:tcPr>
            <w:tcW w:w="7780"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sz w:val="16"/>
              </w:rPr>
            </w:pPr>
            <w:r>
              <w:rPr>
                <w:rFonts w:ascii="Verdana"/>
                <w:sz w:val="16"/>
              </w:rPr>
              <w:t>FINANCIRANJE REDOVNE DJELATNOSTI KUD-a</w:t>
            </w:r>
          </w:p>
          <w:p>
            <w:pPr>
              <w:pStyle w:val="TableParagraph"/>
              <w:spacing w:before="45"/>
              <w:ind w:left="79"/>
              <w:jc w:val="left"/>
              <w:rPr>
                <w:sz w:val="14"/>
              </w:rPr>
            </w:pPr>
            <w:r>
              <w:rPr>
                <w:sz w:val="14"/>
              </w:rPr>
              <w:t>Funkcija: 0820 Pružanje kulturnih usluga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8"/>
              <w:jc w:val="left"/>
              <w:rPr>
                <w:rFonts w:ascii="Verdana"/>
                <w:sz w:val="16"/>
              </w:rPr>
            </w:pPr>
            <w:r>
              <w:rPr>
                <w:rFonts w:ascii="Verdana"/>
                <w:sz w:val="16"/>
              </w:rPr>
              <w:t>132.000,00</w:t>
            </w:r>
          </w:p>
        </w:tc>
        <w:tc>
          <w:tcPr>
            <w:tcW w:w="1832"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4"/>
              <w:jc w:val="left"/>
              <w:rPr>
                <w:rFonts w:ascii="Verdana"/>
                <w:sz w:val="16"/>
              </w:rPr>
            </w:pPr>
            <w:r>
              <w:rPr>
                <w:rFonts w:ascii="Verdana"/>
                <w:sz w:val="16"/>
              </w:rPr>
              <w:t>132.000,00</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0"/>
              <w:jc w:val="left"/>
              <w:rPr>
                <w:rFonts w:ascii="Verdana"/>
                <w:sz w:val="16"/>
              </w:rPr>
            </w:pPr>
            <w:r>
              <w:rPr>
                <w:rFonts w:ascii="Verdana"/>
                <w:sz w:val="16"/>
              </w:rPr>
              <w:t>104.900,00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3"/>
              <w:jc w:val="left"/>
              <w:rPr>
                <w:rFonts w:ascii="Verdana"/>
                <w:sz w:val="16"/>
              </w:rPr>
            </w:pPr>
            <w:r>
              <w:rPr>
                <w:rFonts w:ascii="Verdana"/>
                <w:sz w:val="16"/>
              </w:rPr>
              <w:t>79,47%</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ind w:left="14"/>
              <w:jc w:val="left"/>
              <w:rPr>
                <w:sz w:val="14"/>
              </w:rPr>
            </w:pPr>
            <w:r>
              <w:rPr>
                <w:w w:val="100"/>
                <w:sz w:val="14"/>
              </w:rPr>
              <w:t>4</w:t>
            </w: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80"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2"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381</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spacing w:before="5"/>
              <w:ind w:left="87"/>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5"/>
              <w:rPr>
                <w:sz w:val="16"/>
              </w:rPr>
            </w:pPr>
            <w:r>
              <w:rPr>
                <w:sz w:val="16"/>
              </w:rPr>
              <w:t>132.000,00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5"/>
              <w:ind w:right="60"/>
              <w:rPr>
                <w:sz w:val="16"/>
              </w:rPr>
            </w:pPr>
            <w:r>
              <w:rPr>
                <w:sz w:val="16"/>
              </w:rPr>
              <w:t>132.000,00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64"/>
              <w:rPr>
                <w:sz w:val="16"/>
              </w:rPr>
            </w:pPr>
            <w:r>
              <w:rPr>
                <w:sz w:val="16"/>
              </w:rPr>
              <w:t>104.900,00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8"/>
              <w:rPr>
                <w:sz w:val="16"/>
              </w:rPr>
            </w:pPr>
            <w:r>
              <w:rPr>
                <w:sz w:val="16"/>
              </w:rPr>
              <w:t>79,47%</w:t>
            </w:r>
          </w:p>
        </w:tc>
      </w:tr>
      <w:tr>
        <w:trPr>
          <w:trHeight w:val="280" w:hRule="atLeast"/>
        </w:trPr>
        <w:tc>
          <w:tcPr>
            <w:tcW w:w="738" w:type="dxa"/>
            <w:gridSpan w:val="5"/>
            <w:tcBorders>
              <w:top w:val="single" w:sz="8" w:space="0" w:color="000000"/>
              <w:left w:val="nil"/>
              <w:bottom w:val="nil"/>
              <w:right w:val="single" w:sz="2" w:space="0" w:color="000000"/>
            </w:tcBorders>
          </w:tcPr>
          <w:p>
            <w:pPr>
              <w:pStyle w:val="TableParagraph"/>
              <w:ind w:left="368"/>
              <w:jc w:val="left"/>
              <w:rPr>
                <w:sz w:val="16"/>
              </w:rPr>
            </w:pPr>
            <w:r>
              <w:rPr>
                <w:sz w:val="16"/>
              </w:rPr>
              <w:t>3811</w:t>
            </w:r>
          </w:p>
        </w:tc>
        <w:tc>
          <w:tcPr>
            <w:tcW w:w="400" w:type="dxa"/>
            <w:gridSpan w:val="3"/>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nil"/>
              <w:right w:val="single" w:sz="2" w:space="0" w:color="000000"/>
            </w:tcBorders>
          </w:tcPr>
          <w:p>
            <w:pPr>
              <w:pStyle w:val="TableParagraph"/>
              <w:ind w:left="87"/>
              <w:jc w:val="left"/>
              <w:rPr>
                <w:sz w:val="16"/>
              </w:rPr>
            </w:pPr>
            <w:r>
              <w:rPr>
                <w:sz w:val="16"/>
              </w:rPr>
              <w:t>Tekuće donacije u novcu</w:t>
            </w:r>
          </w:p>
        </w:tc>
        <w:tc>
          <w:tcPr>
            <w:tcW w:w="1833" w:type="dxa"/>
            <w:tcBorders>
              <w:top w:val="single" w:sz="8" w:space="0" w:color="000000"/>
              <w:left w:val="single" w:sz="2" w:space="0" w:color="000000"/>
              <w:bottom w:val="nil"/>
              <w:right w:val="single" w:sz="2" w:space="0" w:color="000000"/>
            </w:tcBorders>
          </w:tcPr>
          <w:p>
            <w:pPr>
              <w:pStyle w:val="TableParagraph"/>
              <w:ind w:right="55"/>
              <w:rPr>
                <w:sz w:val="16"/>
              </w:rPr>
            </w:pPr>
            <w:r>
              <w:rPr>
                <w:sz w:val="16"/>
              </w:rPr>
              <w:t>132.000,00</w:t>
            </w:r>
          </w:p>
        </w:tc>
        <w:tc>
          <w:tcPr>
            <w:tcW w:w="1832" w:type="dxa"/>
            <w:tcBorders>
              <w:top w:val="single" w:sz="8" w:space="0" w:color="000000"/>
              <w:left w:val="single" w:sz="2" w:space="0" w:color="000000"/>
              <w:bottom w:val="nil"/>
              <w:right w:val="single" w:sz="2" w:space="0" w:color="000000"/>
            </w:tcBorders>
          </w:tcPr>
          <w:p>
            <w:pPr>
              <w:pStyle w:val="TableParagraph"/>
              <w:ind w:right="60"/>
              <w:rPr>
                <w:sz w:val="16"/>
              </w:rPr>
            </w:pPr>
            <w:r>
              <w:rPr>
                <w:sz w:val="16"/>
              </w:rPr>
              <w:t>132.000,00</w:t>
            </w:r>
          </w:p>
        </w:tc>
        <w:tc>
          <w:tcPr>
            <w:tcW w:w="1833" w:type="dxa"/>
            <w:tcBorders>
              <w:top w:val="single" w:sz="8" w:space="0" w:color="000000"/>
              <w:left w:val="single" w:sz="2" w:space="0" w:color="000000"/>
              <w:bottom w:val="nil"/>
              <w:right w:val="single" w:sz="2" w:space="0" w:color="000000"/>
            </w:tcBorders>
          </w:tcPr>
          <w:p>
            <w:pPr>
              <w:pStyle w:val="TableParagraph"/>
              <w:ind w:right="64"/>
              <w:rPr>
                <w:sz w:val="16"/>
              </w:rPr>
            </w:pPr>
            <w:r>
              <w:rPr>
                <w:sz w:val="16"/>
              </w:rPr>
              <w:t>104.900,00</w:t>
            </w:r>
          </w:p>
        </w:tc>
        <w:tc>
          <w:tcPr>
            <w:tcW w:w="1105" w:type="dxa"/>
            <w:tcBorders>
              <w:top w:val="single" w:sz="8" w:space="0" w:color="000000"/>
              <w:left w:val="single" w:sz="2" w:space="0" w:color="000000"/>
              <w:bottom w:val="nil"/>
              <w:right w:val="nil"/>
            </w:tcBorders>
          </w:tcPr>
          <w:p>
            <w:pPr>
              <w:pStyle w:val="TableParagraph"/>
              <w:ind w:right="58"/>
              <w:rPr>
                <w:sz w:val="16"/>
              </w:rPr>
            </w:pPr>
            <w:r>
              <w:rPr>
                <w:sz w:val="16"/>
              </w:rPr>
              <w:t>79,47%</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3"/>
        <w:gridCol w:w="114"/>
        <w:gridCol w:w="112"/>
        <w:gridCol w:w="174"/>
        <w:gridCol w:w="7778"/>
        <w:gridCol w:w="1833"/>
        <w:gridCol w:w="1831"/>
        <w:gridCol w:w="1831"/>
        <w:gridCol w:w="1105"/>
      </w:tblGrid>
      <w:tr>
        <w:trPr>
          <w:trHeight w:val="828" w:hRule="atLeast"/>
        </w:trPr>
        <w:tc>
          <w:tcPr>
            <w:tcW w:w="15516" w:type="dxa"/>
            <w:gridSpan w:val="13"/>
            <w:tcBorders>
              <w:left w:val="nil"/>
              <w:bottom w:val="single" w:sz="8" w:space="0" w:color="000000"/>
              <w:right w:val="nil"/>
            </w:tcBorders>
            <w:shd w:val="clear" w:color="auto" w:fill="C0C0C0"/>
          </w:tcPr>
          <w:p>
            <w:pPr>
              <w:pStyle w:val="TableParagraph"/>
              <w:spacing w:before="56"/>
              <w:ind w:left="1431" w:right="1462"/>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37" w:right="1429"/>
              <w:jc w:val="center"/>
              <w:rPr>
                <w:rFonts w:ascii="Times New Roman"/>
                <w:sz w:val="22"/>
              </w:rPr>
            </w:pPr>
            <w:r>
              <w:rPr>
                <w:rFonts w:ascii="Times New Roman"/>
                <w:sz w:val="22"/>
              </w:rPr>
              <w:t>POSEBNI DIO- PROGRAMSKA KLASIFIKACIJA</w:t>
            </w:r>
          </w:p>
        </w:tc>
      </w:tr>
      <w:tr>
        <w:trPr>
          <w:trHeight w:val="846" w:hRule="atLeast"/>
        </w:trPr>
        <w:tc>
          <w:tcPr>
            <w:tcW w:w="1138"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47" w:right="235" w:hanging="5"/>
              <w:jc w:val="center"/>
              <w:rPr>
                <w:sz w:val="20"/>
              </w:rPr>
            </w:pPr>
            <w:r>
              <w:rPr>
                <w:sz w:val="20"/>
              </w:rPr>
              <w:t>Račun/ </w:t>
            </w:r>
            <w:r>
              <w:rPr>
                <w:w w:val="95"/>
                <w:sz w:val="20"/>
              </w:rPr>
              <w:t>Pozicija</w:t>
            </w:r>
          </w:p>
          <w:p>
            <w:pPr>
              <w:pStyle w:val="TableParagraph"/>
              <w:spacing w:before="84"/>
              <w:ind w:left="158"/>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53" w:right="3672"/>
              <w:jc w:val="center"/>
              <w:rPr>
                <w:sz w:val="20"/>
              </w:rPr>
            </w:pPr>
            <w:r>
              <w:rPr>
                <w:sz w:val="20"/>
              </w:rPr>
              <w:t>Opis</w:t>
            </w:r>
          </w:p>
          <w:p>
            <w:pPr>
              <w:pStyle w:val="TableParagraph"/>
              <w:spacing w:before="4"/>
              <w:jc w:val="left"/>
              <w:rPr>
                <w:rFonts w:ascii="Times New Roman"/>
                <w:sz w:val="28"/>
              </w:rPr>
            </w:pPr>
          </w:p>
          <w:p>
            <w:pPr>
              <w:pStyle w:val="TableParagraph"/>
              <w:spacing w:before="0"/>
              <w:ind w:right="7"/>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8"/>
              <w:jc w:val="center"/>
              <w:rPr>
                <w:sz w:val="20"/>
              </w:rPr>
            </w:pPr>
            <w:r>
              <w:rPr>
                <w:sz w:val="20"/>
              </w:rPr>
              <w:t>Izvorni plan za 2014. godinu</w:t>
            </w:r>
          </w:p>
          <w:p>
            <w:pPr>
              <w:pStyle w:val="TableParagraph"/>
              <w:spacing w:before="89"/>
              <w:ind w:left="22"/>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80" w:right="131"/>
              <w:jc w:val="center"/>
              <w:rPr>
                <w:sz w:val="20"/>
              </w:rPr>
            </w:pPr>
            <w:r>
              <w:rPr>
                <w:sz w:val="20"/>
              </w:rPr>
              <w:t>Tekući plan za 2014. godinu</w:t>
            </w:r>
          </w:p>
          <w:p>
            <w:pPr>
              <w:pStyle w:val="TableParagraph"/>
              <w:spacing w:before="89"/>
              <w:ind w:left="11"/>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35" w:right="131"/>
              <w:jc w:val="center"/>
              <w:rPr>
                <w:sz w:val="20"/>
              </w:rPr>
            </w:pPr>
            <w:r>
              <w:rPr>
                <w:sz w:val="20"/>
              </w:rPr>
              <w:t>Izvršenje 01.01.-</w:t>
            </w:r>
          </w:p>
          <w:p>
            <w:pPr>
              <w:pStyle w:val="TableParagraph"/>
              <w:spacing w:line="241" w:lineRule="exact" w:before="0"/>
              <w:ind w:left="138" w:right="131"/>
              <w:jc w:val="center"/>
              <w:rPr>
                <w:sz w:val="20"/>
              </w:rPr>
            </w:pPr>
            <w:r>
              <w:rPr>
                <w:sz w:val="20"/>
              </w:rPr>
              <w:t>30.06.2014.</w:t>
            </w:r>
          </w:p>
          <w:p>
            <w:pPr>
              <w:pStyle w:val="TableParagraph"/>
              <w:spacing w:before="90"/>
              <w:ind w:left="6"/>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2" w:right="235"/>
              <w:jc w:val="center"/>
              <w:rPr>
                <w:sz w:val="20"/>
              </w:rPr>
            </w:pPr>
            <w:r>
              <w:rPr>
                <w:w w:val="95"/>
                <w:sz w:val="20"/>
              </w:rPr>
              <w:t>Indeks </w:t>
            </w:r>
            <w:r>
              <w:rPr>
                <w:sz w:val="20"/>
              </w:rPr>
              <w:t>5/4</w:t>
            </w:r>
          </w:p>
          <w:p>
            <w:pPr>
              <w:pStyle w:val="TableParagraph"/>
              <w:spacing w:before="89"/>
              <w:ind w:left="20"/>
              <w:jc w:val="center"/>
              <w:rPr>
                <w:sz w:val="18"/>
              </w:rPr>
            </w:pPr>
            <w:r>
              <w:rPr>
                <w:w w:val="100"/>
                <w:sz w:val="18"/>
              </w:rPr>
              <w:t>6</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A201611</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sz w:val="16"/>
              </w:rPr>
            </w:pPr>
            <w:r>
              <w:rPr>
                <w:rFonts w:ascii="Verdana"/>
                <w:w w:val="105"/>
                <w:sz w:val="16"/>
              </w:rPr>
              <w:t>ORGANIZACIJA MANIFESTACIJA</w:t>
            </w:r>
          </w:p>
          <w:p>
            <w:pPr>
              <w:pStyle w:val="TableParagraph"/>
              <w:spacing w:before="45"/>
              <w:ind w:left="73"/>
              <w:jc w:val="left"/>
              <w:rPr>
                <w:sz w:val="14"/>
              </w:rPr>
            </w:pPr>
            <w:r>
              <w:rPr>
                <w:sz w:val="14"/>
              </w:rPr>
              <w:t>Funkcija: 0820 Pružanje kulturnih usluga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30.000,00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0"/>
              <w:jc w:val="left"/>
              <w:rPr>
                <w:rFonts w:ascii="Verdana"/>
                <w:sz w:val="16"/>
              </w:rPr>
            </w:pPr>
            <w:r>
              <w:rPr>
                <w:rFonts w:ascii="Verdana"/>
                <w:sz w:val="16"/>
              </w:rPr>
              <w:t>30.000,00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1047"/>
              <w:jc w:val="left"/>
              <w:rPr>
                <w:rFonts w:ascii="Verdana"/>
                <w:sz w:val="16"/>
              </w:rPr>
            </w:pPr>
            <w:r>
              <w:rPr>
                <w:rFonts w:ascii="Verdana"/>
                <w:sz w:val="16"/>
              </w:rPr>
              <w:t>5.000,00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16,67%</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2"/>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1"/>
              <w:jc w:val="left"/>
              <w:rPr>
                <w:sz w:val="16"/>
              </w:rPr>
            </w:pPr>
            <w:r>
              <w:rPr>
                <w:sz w:val="16"/>
              </w:rPr>
              <w:t>381</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1"/>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61"/>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8"/>
              <w:rPr>
                <w:sz w:val="16"/>
              </w:rPr>
            </w:pPr>
            <w:r>
              <w:rPr>
                <w:sz w:val="16"/>
              </w:rPr>
              <w:t>5.000,00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9"/>
              <w:rPr>
                <w:sz w:val="16"/>
              </w:rPr>
            </w:pPr>
            <w:r>
              <w:rPr>
                <w:sz w:val="16"/>
              </w:rPr>
              <w:t>16,67%</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3811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8"/>
              <w:rPr>
                <w:sz w:val="16"/>
              </w:rPr>
            </w:pPr>
            <w:r>
              <w:rPr>
                <w:sz w:val="16"/>
              </w:rPr>
              <w:t>5.000,00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16,67%</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A201612</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sz w:val="16"/>
              </w:rPr>
            </w:pPr>
            <w:r>
              <w:rPr>
                <w:rFonts w:ascii="Verdana"/>
                <w:sz w:val="16"/>
              </w:rPr>
              <w:t>ZAKUP PROSTORA ZA RAD USTANOVA U KULTURI</w:t>
            </w:r>
          </w:p>
          <w:p>
            <w:pPr>
              <w:pStyle w:val="TableParagraph"/>
              <w:spacing w:before="45"/>
              <w:ind w:left="73"/>
              <w:jc w:val="left"/>
              <w:rPr>
                <w:sz w:val="14"/>
              </w:rPr>
            </w:pPr>
            <w:r>
              <w:rPr>
                <w:sz w:val="14"/>
              </w:rPr>
              <w:t>Funkcija: 0820 Službe kulture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96.000,00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0"/>
              <w:jc w:val="left"/>
              <w:rPr>
                <w:rFonts w:ascii="Verdana"/>
                <w:sz w:val="16"/>
              </w:rPr>
            </w:pPr>
            <w:r>
              <w:rPr>
                <w:rFonts w:ascii="Verdana"/>
                <w:sz w:val="16"/>
              </w:rPr>
              <w:t>96.000,00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46"/>
              <w:jc w:val="left"/>
              <w:rPr>
                <w:rFonts w:ascii="Verdana"/>
                <w:sz w:val="16"/>
              </w:rPr>
            </w:pPr>
            <w:r>
              <w:rPr>
                <w:rFonts w:ascii="Verdana"/>
                <w:sz w:val="16"/>
              </w:rPr>
              <w:t>40.000,00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41,67%</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2"/>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323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96.000,00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96.000,00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40.000,00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41,67%</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3235</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Zakupnine i najamnine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96.000,00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96.000,00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40.000,00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41,67%</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A201613</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sz w:val="16"/>
              </w:rPr>
            </w:pPr>
            <w:r>
              <w:rPr>
                <w:rFonts w:ascii="Verdana"/>
                <w:w w:val="105"/>
                <w:sz w:val="16"/>
              </w:rPr>
              <w:t>FINANCIRANJE PROJEKATA U KULTURI</w:t>
            </w:r>
          </w:p>
          <w:p>
            <w:pPr>
              <w:pStyle w:val="TableParagraph"/>
              <w:spacing w:before="45"/>
              <w:ind w:left="73"/>
              <w:jc w:val="left"/>
              <w:rPr>
                <w:sz w:val="14"/>
              </w:rPr>
            </w:pPr>
            <w:r>
              <w:rPr>
                <w:sz w:val="14"/>
              </w:rPr>
              <w:t>Funkcija: 0820 Službe kulture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10.000,00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0"/>
              <w:jc w:val="left"/>
              <w:rPr>
                <w:rFonts w:ascii="Verdana"/>
                <w:sz w:val="16"/>
              </w:rPr>
            </w:pPr>
            <w:r>
              <w:rPr>
                <w:rFonts w:ascii="Verdana"/>
                <w:sz w:val="16"/>
              </w:rPr>
              <w:t>10.000,00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right="63"/>
              <w:rPr>
                <w:rFonts w:ascii="Verdana"/>
                <w:sz w:val="16"/>
              </w:rPr>
            </w:pPr>
            <w:r>
              <w:rPr>
                <w:rFonts w:ascii="Verdana"/>
                <w:sz w:val="16"/>
              </w:rPr>
              <w:t>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2"/>
              <w:jc w:val="left"/>
              <w:rPr>
                <w:rFonts w:ascii="Verdana"/>
                <w:sz w:val="16"/>
              </w:rPr>
            </w:pPr>
            <w:r>
              <w:rPr>
                <w:rFonts w:ascii="Verdana"/>
                <w:sz w:val="16"/>
              </w:rPr>
              <w:t>0,00%</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2"/>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1"/>
              <w:jc w:val="left"/>
              <w:rPr>
                <w:sz w:val="16"/>
              </w:rPr>
            </w:pPr>
            <w:r>
              <w:rPr>
                <w:sz w:val="16"/>
              </w:rPr>
              <w:t>381</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1"/>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61"/>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3"/>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9"/>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3811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505" w:hRule="atLeast"/>
        </w:trPr>
        <w:tc>
          <w:tcPr>
            <w:tcW w:w="1138"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1"/>
              <w:jc w:val="left"/>
              <w:rPr>
                <w:rFonts w:ascii="Verdana"/>
                <w:sz w:val="16"/>
              </w:rPr>
            </w:pPr>
            <w:r>
              <w:rPr>
                <w:rFonts w:ascii="Verdana"/>
                <w:sz w:val="16"/>
              </w:rPr>
              <w:t>Program</w:t>
            </w:r>
          </w:p>
          <w:p>
            <w:pPr>
              <w:pStyle w:val="TableParagraph"/>
              <w:spacing w:before="31"/>
              <w:ind w:left="712"/>
              <w:jc w:val="left"/>
              <w:rPr>
                <w:rFonts w:ascii="Verdana"/>
                <w:sz w:val="16"/>
              </w:rPr>
            </w:pPr>
            <w:r>
              <w:rPr>
                <w:rFonts w:ascii="Verdana"/>
                <w:sz w:val="16"/>
              </w:rPr>
              <w:t>2017</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3"/>
              <w:jc w:val="left"/>
              <w:rPr>
                <w:rFonts w:ascii="Verdana" w:hAnsi="Verdana"/>
                <w:sz w:val="20"/>
              </w:rPr>
            </w:pPr>
            <w:r>
              <w:rPr>
                <w:rFonts w:ascii="Verdana" w:hAnsi="Verdana"/>
                <w:sz w:val="20"/>
              </w:rPr>
              <w:t>PROGRAM JAVNIH POTREBA U</w:t>
            </w:r>
            <w:r>
              <w:rPr>
                <w:rFonts w:ascii="Verdana" w:hAnsi="Verdana"/>
                <w:spacing w:val="-51"/>
                <w:sz w:val="20"/>
              </w:rPr>
              <w:t> </w:t>
            </w:r>
            <w:r>
              <w:rPr>
                <w:rFonts w:ascii="Verdana" w:hAnsi="Verdana"/>
                <w:sz w:val="20"/>
              </w:rPr>
              <w:t>ŠKOLSTVU</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6"/>
              <w:rPr>
                <w:rFonts w:ascii="Verdana"/>
                <w:sz w:val="20"/>
              </w:rPr>
            </w:pPr>
            <w:r>
              <w:rPr>
                <w:rFonts w:ascii="Verdana"/>
                <w:sz w:val="20"/>
              </w:rPr>
              <w:t>85.000,00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8"/>
              <w:rPr>
                <w:rFonts w:ascii="Verdana"/>
                <w:sz w:val="20"/>
              </w:rPr>
            </w:pPr>
            <w:r>
              <w:rPr>
                <w:rFonts w:ascii="Verdana"/>
                <w:sz w:val="20"/>
              </w:rPr>
              <w:t>85.000,00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80"/>
              <w:rPr>
                <w:rFonts w:ascii="Verdana"/>
                <w:sz w:val="20"/>
              </w:rPr>
            </w:pPr>
            <w:r>
              <w:rPr>
                <w:rFonts w:ascii="Verdana"/>
                <w:sz w:val="20"/>
              </w:rPr>
              <w:t>36.968,00</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6"/>
              <w:rPr>
                <w:rFonts w:ascii="Verdana"/>
                <w:sz w:val="20"/>
              </w:rPr>
            </w:pPr>
            <w:r>
              <w:rPr>
                <w:rFonts w:ascii="Verdana"/>
                <w:sz w:val="20"/>
              </w:rPr>
              <w:t>43,49%</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A201710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hAnsi="Verdana"/>
                <w:sz w:val="16"/>
              </w:rPr>
            </w:pPr>
            <w:r>
              <w:rPr>
                <w:rFonts w:ascii="Verdana" w:hAnsi="Verdana"/>
                <w:sz w:val="16"/>
              </w:rPr>
              <w:t>FINANCIRANJE AKTIVNOSTI ŠKOLA</w:t>
            </w:r>
          </w:p>
          <w:p>
            <w:pPr>
              <w:pStyle w:val="TableParagraph"/>
              <w:spacing w:before="45"/>
              <w:ind w:left="73"/>
              <w:jc w:val="left"/>
              <w:rPr>
                <w:sz w:val="14"/>
              </w:rPr>
            </w:pPr>
            <w:r>
              <w:rPr>
                <w:sz w:val="14"/>
              </w:rPr>
              <w:t>Funkcija: 0980 Usluge obrazovanja koje nisu drugdje svrstane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25.000,00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0"/>
              <w:jc w:val="left"/>
              <w:rPr>
                <w:rFonts w:ascii="Verdana"/>
                <w:sz w:val="16"/>
              </w:rPr>
            </w:pPr>
            <w:r>
              <w:rPr>
                <w:rFonts w:ascii="Verdana"/>
                <w:sz w:val="16"/>
              </w:rPr>
              <w:t>25.000,00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1047"/>
              <w:jc w:val="left"/>
              <w:rPr>
                <w:rFonts w:ascii="Verdana"/>
                <w:sz w:val="16"/>
              </w:rPr>
            </w:pPr>
            <w:r>
              <w:rPr>
                <w:rFonts w:ascii="Verdana"/>
                <w:sz w:val="16"/>
              </w:rPr>
              <w:t>3.968,00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15,87%</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2"/>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1"/>
              <w:jc w:val="left"/>
              <w:rPr>
                <w:sz w:val="16"/>
              </w:rPr>
            </w:pPr>
            <w:r>
              <w:rPr>
                <w:sz w:val="16"/>
              </w:rPr>
              <w:t>372</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1"/>
              <w:jc w:val="left"/>
              <w:rPr>
                <w:sz w:val="16"/>
              </w:rPr>
            </w:pPr>
            <w:r>
              <w:rPr>
                <w:sz w:val="16"/>
              </w:rPr>
              <w:t>Ostale naknade građanima i kućanstvima iz proračuna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61"/>
              <w:rPr>
                <w:sz w:val="16"/>
              </w:rPr>
            </w:pPr>
            <w:r>
              <w:rPr>
                <w:sz w:val="16"/>
              </w:rPr>
              <w:t>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3"/>
              <w:rPr>
                <w:sz w:val="16"/>
              </w:rPr>
            </w:pPr>
            <w:r>
              <w:rPr>
                <w:sz w:val="16"/>
              </w:rPr>
              <w:t>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9"/>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3722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Naknade građanima i kućanstvima u naravi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381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8"/>
              <w:rPr>
                <w:sz w:val="16"/>
              </w:rPr>
            </w:pPr>
            <w:r>
              <w:rPr>
                <w:sz w:val="16"/>
              </w:rPr>
              <w:t>3.968,00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79,36%</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3811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8"/>
              <w:rPr>
                <w:sz w:val="16"/>
              </w:rPr>
            </w:pPr>
            <w:r>
              <w:rPr>
                <w:sz w:val="16"/>
              </w:rPr>
              <w:t>3.968,00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79,36%</w:t>
            </w:r>
          </w:p>
        </w:tc>
      </w:tr>
      <w:tr>
        <w:trPr>
          <w:trHeight w:val="232"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A201711</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hAnsi="Verdana"/>
                <w:sz w:val="16"/>
              </w:rPr>
            </w:pPr>
            <w:r>
              <w:rPr>
                <w:rFonts w:ascii="Verdana" w:hAnsi="Verdana"/>
                <w:w w:val="105"/>
                <w:sz w:val="16"/>
              </w:rPr>
              <w:t>STIPENDIRANJE UČENIKA I STUDENATA</w:t>
            </w:r>
          </w:p>
          <w:p>
            <w:pPr>
              <w:pStyle w:val="TableParagraph"/>
              <w:spacing w:before="45"/>
              <w:ind w:left="73"/>
              <w:jc w:val="left"/>
              <w:rPr>
                <w:sz w:val="14"/>
              </w:rPr>
            </w:pPr>
            <w:r>
              <w:rPr>
                <w:sz w:val="14"/>
              </w:rPr>
              <w:t>Funkcija: 1070 Socijalna pomoć stanovništvu koje nije obuhvaćeno redovnim socijalnim programima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60.000,00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0"/>
              <w:jc w:val="left"/>
              <w:rPr>
                <w:rFonts w:ascii="Verdana"/>
                <w:sz w:val="16"/>
              </w:rPr>
            </w:pPr>
            <w:r>
              <w:rPr>
                <w:rFonts w:ascii="Verdana"/>
                <w:sz w:val="16"/>
              </w:rPr>
              <w:t>60.000,00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46"/>
              <w:jc w:val="left"/>
              <w:rPr>
                <w:rFonts w:ascii="Verdana"/>
                <w:sz w:val="16"/>
              </w:rPr>
            </w:pPr>
            <w:r>
              <w:rPr>
                <w:rFonts w:ascii="Verdana"/>
                <w:sz w:val="16"/>
              </w:rPr>
              <w:t>33.000,00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55,00%</w:t>
            </w:r>
          </w:p>
        </w:tc>
      </w:tr>
      <w:tr>
        <w:trPr>
          <w:trHeight w:val="182"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2"/>
              <w:jc w:val="center"/>
              <w:rPr>
                <w:sz w:val="14"/>
              </w:rPr>
            </w:pPr>
            <w:r>
              <w:rPr>
                <w:sz w:val="14"/>
              </w:rPr>
              <w:t>Izv.</w:t>
            </w:r>
          </w:p>
        </w:tc>
        <w:tc>
          <w:tcPr>
            <w:tcW w:w="112" w:type="dxa"/>
            <w:tcBorders>
              <w:top w:val="single" w:sz="12" w:space="0" w:color="000000"/>
              <w:left w:val="single" w:sz="12" w:space="0" w:color="000000"/>
              <w:bottom w:val="single" w:sz="8" w:space="0" w:color="000000"/>
              <w:right w:val="single" w:sz="8" w:space="0" w:color="000000"/>
            </w:tcBorders>
            <w:shd w:val="clear" w:color="auto" w:fill="C0C0C0"/>
          </w:tcPr>
          <w:p>
            <w:pPr>
              <w:pStyle w:val="TableParagraph"/>
              <w:spacing w:line="162" w:lineRule="exact" w:before="0"/>
              <w:ind w:left="2"/>
              <w:jc w:val="left"/>
              <w:rPr>
                <w:sz w:val="14"/>
              </w:rPr>
            </w:pPr>
            <w:r>
              <w:rPr>
                <w:w w:val="100"/>
                <w:sz w:val="14"/>
              </w:rPr>
              <w:t>1</w:t>
            </w: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12"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12"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12"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372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Ostale naknade građanima i kućanstvima iz proračuna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33.000,00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55,00%</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3721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Naknade građanima i kućanstvima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33.000,00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55,00%</w:t>
            </w:r>
          </w:p>
        </w:tc>
      </w:tr>
      <w:tr>
        <w:trPr>
          <w:trHeight w:val="503" w:hRule="atLeast"/>
        </w:trPr>
        <w:tc>
          <w:tcPr>
            <w:tcW w:w="1138"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1"/>
              <w:jc w:val="left"/>
              <w:rPr>
                <w:rFonts w:ascii="Verdana"/>
                <w:sz w:val="16"/>
              </w:rPr>
            </w:pPr>
            <w:r>
              <w:rPr>
                <w:rFonts w:ascii="Verdana"/>
                <w:sz w:val="16"/>
              </w:rPr>
              <w:t>Program</w:t>
            </w:r>
          </w:p>
          <w:p>
            <w:pPr>
              <w:pStyle w:val="TableParagraph"/>
              <w:spacing w:before="31"/>
              <w:ind w:left="712"/>
              <w:jc w:val="left"/>
              <w:rPr>
                <w:rFonts w:ascii="Verdana"/>
                <w:sz w:val="16"/>
              </w:rPr>
            </w:pPr>
            <w:r>
              <w:rPr>
                <w:rFonts w:ascii="Verdana"/>
                <w:sz w:val="16"/>
              </w:rPr>
              <w:t>2018</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3"/>
              <w:jc w:val="left"/>
              <w:rPr>
                <w:rFonts w:ascii="Verdana"/>
                <w:sz w:val="20"/>
              </w:rPr>
            </w:pPr>
            <w:r>
              <w:rPr>
                <w:rFonts w:ascii="Verdana"/>
                <w:sz w:val="20"/>
              </w:rPr>
              <w:t>PROGRAM SOCIJALNE SKRBI</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6"/>
              <w:rPr>
                <w:rFonts w:ascii="Verdana"/>
                <w:sz w:val="20"/>
              </w:rPr>
            </w:pPr>
            <w:r>
              <w:rPr>
                <w:rFonts w:ascii="Verdana"/>
                <w:sz w:val="20"/>
              </w:rPr>
              <w:t>508.000,00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8"/>
              <w:rPr>
                <w:rFonts w:ascii="Verdana"/>
                <w:sz w:val="20"/>
              </w:rPr>
            </w:pPr>
            <w:r>
              <w:rPr>
                <w:rFonts w:ascii="Verdana"/>
                <w:sz w:val="20"/>
              </w:rPr>
              <w:t>508.000,00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82"/>
              <w:rPr>
                <w:rFonts w:ascii="Verdana"/>
                <w:sz w:val="20"/>
              </w:rPr>
            </w:pPr>
            <w:r>
              <w:rPr>
                <w:rFonts w:ascii="Verdana"/>
                <w:sz w:val="20"/>
              </w:rPr>
              <w:t>248.055,56</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6"/>
              <w:rPr>
                <w:rFonts w:ascii="Verdana"/>
                <w:sz w:val="20"/>
              </w:rPr>
            </w:pPr>
            <w:r>
              <w:rPr>
                <w:rFonts w:ascii="Verdana"/>
                <w:sz w:val="20"/>
              </w:rPr>
              <w:t>48,83%</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A201810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hAnsi="Verdana"/>
                <w:sz w:val="16"/>
              </w:rPr>
            </w:pPr>
            <w:r>
              <w:rPr>
                <w:rFonts w:ascii="Verdana" w:hAnsi="Verdana"/>
                <w:sz w:val="16"/>
              </w:rPr>
              <w:t>POMOĆ SOCIJALNO UGROŽENIM KATEGORIJAMA STANOVNIŠTVA</w:t>
            </w:r>
          </w:p>
          <w:p>
            <w:pPr>
              <w:pStyle w:val="TableParagraph"/>
              <w:spacing w:before="45"/>
              <w:ind w:left="73"/>
              <w:jc w:val="left"/>
              <w:rPr>
                <w:sz w:val="14"/>
              </w:rPr>
            </w:pPr>
            <w:r>
              <w:rPr>
                <w:sz w:val="14"/>
              </w:rPr>
              <w:t>Funkcija: 1070 Socijalna pomoć stanovništvu koje nije obuhvaćeno redovnim socijalnim programima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4"/>
              <w:jc w:val="left"/>
              <w:rPr>
                <w:rFonts w:ascii="Verdana"/>
                <w:sz w:val="16"/>
              </w:rPr>
            </w:pPr>
            <w:r>
              <w:rPr>
                <w:rFonts w:ascii="Verdana"/>
                <w:sz w:val="16"/>
              </w:rPr>
              <w:t>508.000,00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0"/>
              <w:jc w:val="left"/>
              <w:rPr>
                <w:rFonts w:ascii="Verdana"/>
                <w:sz w:val="16"/>
              </w:rPr>
            </w:pPr>
            <w:r>
              <w:rPr>
                <w:rFonts w:ascii="Verdana"/>
                <w:sz w:val="16"/>
              </w:rPr>
              <w:t>508.000,00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47"/>
              <w:jc w:val="left"/>
              <w:rPr>
                <w:rFonts w:ascii="Verdana"/>
                <w:sz w:val="16"/>
              </w:rPr>
            </w:pPr>
            <w:r>
              <w:rPr>
                <w:rFonts w:ascii="Verdana"/>
                <w:sz w:val="16"/>
              </w:rPr>
              <w:t>248.055,56</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48,83%</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2"/>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3</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4</w:t>
            </w: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1"/>
              <w:jc w:val="left"/>
              <w:rPr>
                <w:sz w:val="16"/>
              </w:rPr>
            </w:pPr>
            <w:r>
              <w:rPr>
                <w:sz w:val="16"/>
              </w:rPr>
              <w:t>372</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1"/>
              <w:jc w:val="left"/>
              <w:rPr>
                <w:sz w:val="16"/>
              </w:rPr>
            </w:pPr>
            <w:r>
              <w:rPr>
                <w:sz w:val="16"/>
              </w:rPr>
              <w:t>Ostale naknade građanima i kućanstvima iz proračuna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9"/>
              <w:rPr>
                <w:sz w:val="16"/>
              </w:rPr>
            </w:pPr>
            <w:r>
              <w:rPr>
                <w:sz w:val="16"/>
              </w:rPr>
              <w:t>508.000,00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3"/>
              <w:rPr>
                <w:sz w:val="16"/>
              </w:rPr>
            </w:pPr>
            <w:r>
              <w:rPr>
                <w:sz w:val="16"/>
              </w:rPr>
              <w:t>508.000,00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5"/>
              <w:rPr>
                <w:sz w:val="16"/>
              </w:rPr>
            </w:pPr>
            <w:r>
              <w:rPr>
                <w:sz w:val="16"/>
              </w:rPr>
              <w:t>248.055,56</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9"/>
              <w:rPr>
                <w:sz w:val="16"/>
              </w:rPr>
            </w:pPr>
            <w:r>
              <w:rPr>
                <w:sz w:val="16"/>
              </w:rPr>
              <w:t>48,83%</w:t>
            </w:r>
          </w:p>
        </w:tc>
      </w:tr>
      <w:tr>
        <w:trPr>
          <w:trHeight w:val="282" w:hRule="atLeast"/>
        </w:trPr>
        <w:tc>
          <w:tcPr>
            <w:tcW w:w="738" w:type="dxa"/>
            <w:gridSpan w:val="5"/>
            <w:tcBorders>
              <w:top w:val="single" w:sz="8" w:space="0" w:color="000000"/>
              <w:left w:val="nil"/>
              <w:bottom w:val="nil"/>
              <w:right w:val="single" w:sz="2" w:space="0" w:color="000000"/>
            </w:tcBorders>
          </w:tcPr>
          <w:p>
            <w:pPr>
              <w:pStyle w:val="TableParagraph"/>
              <w:ind w:left="362"/>
              <w:jc w:val="left"/>
              <w:rPr>
                <w:sz w:val="16"/>
              </w:rPr>
            </w:pPr>
            <w:r>
              <w:rPr>
                <w:sz w:val="16"/>
              </w:rPr>
              <w:t>3721</w:t>
            </w:r>
          </w:p>
        </w:tc>
        <w:tc>
          <w:tcPr>
            <w:tcW w:w="400" w:type="dxa"/>
            <w:gridSpan w:val="3"/>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1"/>
              <w:jc w:val="left"/>
              <w:rPr>
                <w:sz w:val="16"/>
              </w:rPr>
            </w:pPr>
            <w:r>
              <w:rPr>
                <w:sz w:val="16"/>
              </w:rPr>
              <w:t>Naknade građanima i kućanstvima u novcu</w:t>
            </w:r>
          </w:p>
        </w:tc>
        <w:tc>
          <w:tcPr>
            <w:tcW w:w="1833" w:type="dxa"/>
            <w:tcBorders>
              <w:top w:val="single" w:sz="8" w:space="0" w:color="000000"/>
              <w:left w:val="single" w:sz="2" w:space="0" w:color="000000"/>
              <w:bottom w:val="nil"/>
              <w:right w:val="single" w:sz="2" w:space="0" w:color="000000"/>
            </w:tcBorders>
          </w:tcPr>
          <w:p>
            <w:pPr>
              <w:pStyle w:val="TableParagraph"/>
              <w:ind w:right="59"/>
              <w:rPr>
                <w:sz w:val="16"/>
              </w:rPr>
            </w:pPr>
            <w:r>
              <w:rPr>
                <w:sz w:val="16"/>
              </w:rPr>
              <w:t>188.000,00</w:t>
            </w:r>
          </w:p>
        </w:tc>
        <w:tc>
          <w:tcPr>
            <w:tcW w:w="1831" w:type="dxa"/>
            <w:tcBorders>
              <w:top w:val="single" w:sz="8" w:space="0" w:color="000000"/>
              <w:left w:val="single" w:sz="2" w:space="0" w:color="000000"/>
              <w:bottom w:val="nil"/>
              <w:right w:val="single" w:sz="2" w:space="0" w:color="000000"/>
            </w:tcBorders>
          </w:tcPr>
          <w:p>
            <w:pPr>
              <w:pStyle w:val="TableParagraph"/>
              <w:ind w:right="63"/>
              <w:rPr>
                <w:sz w:val="16"/>
              </w:rPr>
            </w:pPr>
            <w:r>
              <w:rPr>
                <w:sz w:val="16"/>
              </w:rPr>
              <w:t>188.000,00</w:t>
            </w:r>
          </w:p>
        </w:tc>
        <w:tc>
          <w:tcPr>
            <w:tcW w:w="1831" w:type="dxa"/>
            <w:tcBorders>
              <w:top w:val="single" w:sz="8" w:space="0" w:color="000000"/>
              <w:left w:val="single" w:sz="2" w:space="0" w:color="000000"/>
              <w:bottom w:val="nil"/>
              <w:right w:val="single" w:sz="2" w:space="0" w:color="000000"/>
            </w:tcBorders>
          </w:tcPr>
          <w:p>
            <w:pPr>
              <w:pStyle w:val="TableParagraph"/>
              <w:ind w:right="65"/>
              <w:rPr>
                <w:sz w:val="16"/>
              </w:rPr>
            </w:pPr>
            <w:r>
              <w:rPr>
                <w:sz w:val="16"/>
              </w:rPr>
              <w:t>51.620,00</w:t>
            </w:r>
          </w:p>
        </w:tc>
        <w:tc>
          <w:tcPr>
            <w:tcW w:w="1105" w:type="dxa"/>
            <w:tcBorders>
              <w:top w:val="single" w:sz="8" w:space="0" w:color="000000"/>
              <w:left w:val="single" w:sz="2" w:space="0" w:color="000000"/>
              <w:bottom w:val="nil"/>
              <w:right w:val="nil"/>
            </w:tcBorders>
          </w:tcPr>
          <w:p>
            <w:pPr>
              <w:pStyle w:val="TableParagraph"/>
              <w:ind w:right="59"/>
              <w:rPr>
                <w:sz w:val="16"/>
              </w:rPr>
            </w:pPr>
            <w:r>
              <w:rPr>
                <w:sz w:val="16"/>
              </w:rPr>
              <w:t>27,46%</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2"/>
        <w:gridCol w:w="114"/>
        <w:gridCol w:w="111"/>
        <w:gridCol w:w="173"/>
        <w:gridCol w:w="7777"/>
        <w:gridCol w:w="1832"/>
        <w:gridCol w:w="1830"/>
        <w:gridCol w:w="1830"/>
        <w:gridCol w:w="1104"/>
      </w:tblGrid>
      <w:tr>
        <w:trPr>
          <w:trHeight w:val="828" w:hRule="atLeast"/>
        </w:trPr>
        <w:tc>
          <w:tcPr>
            <w:tcW w:w="15508" w:type="dxa"/>
            <w:gridSpan w:val="13"/>
            <w:tcBorders>
              <w:left w:val="nil"/>
              <w:bottom w:val="single" w:sz="8" w:space="0" w:color="000000"/>
              <w:right w:val="nil"/>
            </w:tcBorders>
            <w:shd w:val="clear" w:color="auto" w:fill="C0C0C0"/>
          </w:tcPr>
          <w:p>
            <w:pPr>
              <w:pStyle w:val="TableParagraph"/>
              <w:spacing w:before="56"/>
              <w:ind w:left="1443" w:right="1454"/>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415"/>
              <w:jc w:val="center"/>
              <w:rPr>
                <w:rFonts w:ascii="Times New Roman"/>
                <w:sz w:val="22"/>
              </w:rPr>
            </w:pPr>
            <w:r>
              <w:rPr>
                <w:rFonts w:ascii="Times New Roman"/>
                <w:sz w:val="22"/>
              </w:rPr>
              <w:t>POSEBNI DIO- PROGRAMSKA KLASIFIKACIJA</w:t>
            </w:r>
          </w:p>
        </w:tc>
      </w:tr>
      <w:tr>
        <w:trPr>
          <w:trHeight w:val="846" w:hRule="atLeast"/>
        </w:trPr>
        <w:tc>
          <w:tcPr>
            <w:tcW w:w="1135"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6" w:hanging="5"/>
              <w:jc w:val="center"/>
              <w:rPr>
                <w:sz w:val="20"/>
              </w:rPr>
            </w:pPr>
            <w:r>
              <w:rPr>
                <w:sz w:val="20"/>
              </w:rPr>
              <w:t>Račun/ </w:t>
            </w:r>
            <w:r>
              <w:rPr>
                <w:w w:val="95"/>
                <w:sz w:val="20"/>
              </w:rPr>
              <w:t>Pozicija</w:t>
            </w:r>
          </w:p>
          <w:p>
            <w:pPr>
              <w:pStyle w:val="TableParagraph"/>
              <w:spacing w:before="84"/>
              <w:ind w:left="173"/>
              <w:jc w:val="center"/>
              <w:rPr>
                <w:sz w:val="18"/>
              </w:rPr>
            </w:pPr>
            <w:r>
              <w:rPr>
                <w:w w:val="100"/>
                <w:sz w:val="18"/>
              </w:rPr>
              <w:t>1</w:t>
            </w:r>
          </w:p>
        </w:tc>
        <w:tc>
          <w:tcPr>
            <w:tcW w:w="7777"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72" w:right="3672"/>
              <w:jc w:val="center"/>
              <w:rPr>
                <w:sz w:val="20"/>
              </w:rPr>
            </w:pPr>
            <w:r>
              <w:rPr>
                <w:sz w:val="20"/>
              </w:rPr>
              <w:t>Opis</w:t>
            </w:r>
          </w:p>
          <w:p>
            <w:pPr>
              <w:pStyle w:val="TableParagraph"/>
              <w:spacing w:before="4"/>
              <w:jc w:val="left"/>
              <w:rPr>
                <w:rFonts w:ascii="Times New Roman"/>
                <w:sz w:val="28"/>
              </w:rPr>
            </w:pPr>
          </w:p>
          <w:p>
            <w:pPr>
              <w:pStyle w:val="TableParagraph"/>
              <w:spacing w:before="0"/>
              <w:ind w:left="9"/>
              <w:jc w:val="center"/>
              <w:rPr>
                <w:sz w:val="18"/>
              </w:rPr>
            </w:pPr>
            <w:r>
              <w:rPr>
                <w:w w:val="100"/>
                <w:sz w:val="18"/>
              </w:rPr>
              <w:t>2</w:t>
            </w:r>
          </w:p>
        </w:tc>
        <w:tc>
          <w:tcPr>
            <w:tcW w:w="183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4" w:right="135"/>
              <w:jc w:val="center"/>
              <w:rPr>
                <w:sz w:val="20"/>
              </w:rPr>
            </w:pPr>
            <w:r>
              <w:rPr>
                <w:sz w:val="20"/>
              </w:rPr>
              <w:t>Izvorni plan za 2014. godinu</w:t>
            </w:r>
          </w:p>
          <w:p>
            <w:pPr>
              <w:pStyle w:val="TableParagraph"/>
              <w:spacing w:before="89"/>
              <w:ind w:left="43"/>
              <w:jc w:val="center"/>
              <w:rPr>
                <w:sz w:val="18"/>
              </w:rPr>
            </w:pPr>
            <w:r>
              <w:rPr>
                <w:w w:val="100"/>
                <w:sz w:val="18"/>
              </w:rPr>
              <w:t>3</w:t>
            </w:r>
          </w:p>
        </w:tc>
        <w:tc>
          <w:tcPr>
            <w:tcW w:w="1830"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2" w:right="130"/>
              <w:jc w:val="center"/>
              <w:rPr>
                <w:sz w:val="20"/>
              </w:rPr>
            </w:pPr>
            <w:r>
              <w:rPr>
                <w:sz w:val="20"/>
              </w:rPr>
              <w:t>Tekući plan za 2014. godinu</w:t>
            </w:r>
          </w:p>
          <w:p>
            <w:pPr>
              <w:pStyle w:val="TableParagraph"/>
              <w:spacing w:before="89"/>
              <w:ind w:left="34"/>
              <w:jc w:val="center"/>
              <w:rPr>
                <w:sz w:val="18"/>
              </w:rPr>
            </w:pPr>
            <w:r>
              <w:rPr>
                <w:w w:val="100"/>
                <w:sz w:val="18"/>
              </w:rPr>
              <w:t>4</w:t>
            </w:r>
          </w:p>
        </w:tc>
        <w:tc>
          <w:tcPr>
            <w:tcW w:w="1830"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59" w:right="130"/>
              <w:jc w:val="center"/>
              <w:rPr>
                <w:sz w:val="20"/>
              </w:rPr>
            </w:pPr>
            <w:r>
              <w:rPr>
                <w:sz w:val="20"/>
              </w:rPr>
              <w:t>Izvršenje 01.01.-</w:t>
            </w:r>
          </w:p>
          <w:p>
            <w:pPr>
              <w:pStyle w:val="TableParagraph"/>
              <w:spacing w:line="241" w:lineRule="exact" w:before="0"/>
              <w:ind w:left="159" w:right="127"/>
              <w:jc w:val="center"/>
              <w:rPr>
                <w:sz w:val="20"/>
              </w:rPr>
            </w:pPr>
            <w:r>
              <w:rPr>
                <w:sz w:val="20"/>
              </w:rPr>
              <w:t>30.06.2014.</w:t>
            </w:r>
          </w:p>
          <w:p>
            <w:pPr>
              <w:pStyle w:val="TableParagraph"/>
              <w:spacing w:before="90"/>
              <w:ind w:left="31"/>
              <w:jc w:val="center"/>
              <w:rPr>
                <w:sz w:val="18"/>
              </w:rPr>
            </w:pPr>
            <w:r>
              <w:rPr>
                <w:w w:val="100"/>
                <w:sz w:val="18"/>
              </w:rPr>
              <w:t>5</w:t>
            </w:r>
          </w:p>
        </w:tc>
        <w:tc>
          <w:tcPr>
            <w:tcW w:w="1104"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72" w:right="228"/>
              <w:jc w:val="center"/>
              <w:rPr>
                <w:sz w:val="20"/>
              </w:rPr>
            </w:pPr>
            <w:r>
              <w:rPr>
                <w:w w:val="95"/>
                <w:sz w:val="20"/>
              </w:rPr>
              <w:t>Indeks </w:t>
            </w:r>
            <w:r>
              <w:rPr>
                <w:sz w:val="20"/>
              </w:rPr>
              <w:t>5/4</w:t>
            </w:r>
          </w:p>
          <w:p>
            <w:pPr>
              <w:pStyle w:val="TableParagraph"/>
              <w:spacing w:before="89"/>
              <w:ind w:left="47"/>
              <w:jc w:val="center"/>
              <w:rPr>
                <w:sz w:val="18"/>
              </w:rPr>
            </w:pPr>
            <w:r>
              <w:rPr>
                <w:w w:val="100"/>
                <w:sz w:val="18"/>
              </w:rPr>
              <w:t>6</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3722</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Naknade građanima i kućanstvima u naravi</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48"/>
              <w:rPr>
                <w:sz w:val="16"/>
              </w:rPr>
            </w:pPr>
            <w:r>
              <w:rPr>
                <w:sz w:val="16"/>
              </w:rPr>
              <w:t>320.000,00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320.000,00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196.435,56</w:t>
            </w:r>
          </w:p>
        </w:tc>
        <w:tc>
          <w:tcPr>
            <w:tcW w:w="1104" w:type="dxa"/>
            <w:tcBorders>
              <w:top w:val="single" w:sz="8" w:space="0" w:color="000000"/>
              <w:left w:val="single" w:sz="2" w:space="0" w:color="000000"/>
              <w:bottom w:val="single" w:sz="8" w:space="0" w:color="000000"/>
              <w:right w:val="nil"/>
            </w:tcBorders>
          </w:tcPr>
          <w:p>
            <w:pPr>
              <w:pStyle w:val="TableParagraph"/>
              <w:ind w:right="45"/>
              <w:rPr>
                <w:sz w:val="16"/>
              </w:rPr>
            </w:pPr>
            <w:r>
              <w:rPr>
                <w:sz w:val="16"/>
              </w:rPr>
              <w:t>61,39%</w:t>
            </w:r>
          </w:p>
        </w:tc>
      </w:tr>
      <w:tr>
        <w:trPr>
          <w:trHeight w:val="505" w:hRule="atLeast"/>
        </w:trPr>
        <w:tc>
          <w:tcPr>
            <w:tcW w:w="1135"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2019</w:t>
            </w:r>
          </w:p>
        </w:tc>
        <w:tc>
          <w:tcPr>
            <w:tcW w:w="7777"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82"/>
              <w:jc w:val="left"/>
              <w:rPr>
                <w:rFonts w:ascii="Verdana" w:hAnsi="Verdana"/>
                <w:sz w:val="20"/>
              </w:rPr>
            </w:pPr>
            <w:r>
              <w:rPr>
                <w:rFonts w:ascii="Verdana" w:hAnsi="Verdana"/>
                <w:sz w:val="20"/>
              </w:rPr>
              <w:t>RAZVOJ CIVILNOG DRUŠTVA</w:t>
            </w:r>
          </w:p>
        </w:tc>
        <w:tc>
          <w:tcPr>
            <w:tcW w:w="1832"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65"/>
              <w:rPr>
                <w:rFonts w:ascii="Verdana"/>
                <w:sz w:val="20"/>
              </w:rPr>
            </w:pPr>
            <w:r>
              <w:rPr>
                <w:rFonts w:ascii="Verdana"/>
                <w:sz w:val="20"/>
              </w:rPr>
              <w:t>238.000,00</w:t>
            </w:r>
          </w:p>
        </w:tc>
        <w:tc>
          <w:tcPr>
            <w:tcW w:w="1830"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66"/>
              <w:rPr>
                <w:rFonts w:ascii="Verdana"/>
                <w:sz w:val="20"/>
              </w:rPr>
            </w:pPr>
            <w:r>
              <w:rPr>
                <w:rFonts w:ascii="Verdana"/>
                <w:sz w:val="20"/>
              </w:rPr>
              <w:t>238.000,00</w:t>
            </w:r>
          </w:p>
        </w:tc>
        <w:tc>
          <w:tcPr>
            <w:tcW w:w="1830"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69"/>
              <w:rPr>
                <w:rFonts w:ascii="Verdana"/>
                <w:sz w:val="20"/>
              </w:rPr>
            </w:pPr>
            <w:r>
              <w:rPr>
                <w:rFonts w:ascii="Verdana"/>
                <w:sz w:val="20"/>
              </w:rPr>
              <w:t>181.199,67</w:t>
            </w:r>
          </w:p>
        </w:tc>
        <w:tc>
          <w:tcPr>
            <w:tcW w:w="1104"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52"/>
              <w:rPr>
                <w:rFonts w:ascii="Verdana"/>
                <w:sz w:val="20"/>
              </w:rPr>
            </w:pPr>
            <w:r>
              <w:rPr>
                <w:rFonts w:ascii="Verdana"/>
                <w:sz w:val="20"/>
              </w:rPr>
              <w:t>76,13%</w:t>
            </w:r>
          </w:p>
        </w:tc>
      </w:tr>
      <w:tr>
        <w:trPr>
          <w:trHeight w:val="232" w:hRule="atLeast"/>
        </w:trPr>
        <w:tc>
          <w:tcPr>
            <w:tcW w:w="1135"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7"/>
                <w:sz w:val="16"/>
              </w:rPr>
              <w:t> </w:t>
            </w:r>
            <w:r>
              <w:rPr>
                <w:rFonts w:ascii="Verdana"/>
                <w:spacing w:val="-3"/>
                <w:sz w:val="16"/>
              </w:rPr>
              <w:t>A201910</w:t>
            </w:r>
          </w:p>
        </w:tc>
        <w:tc>
          <w:tcPr>
            <w:tcW w:w="7777"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2"/>
              <w:jc w:val="left"/>
              <w:rPr>
                <w:rFonts w:ascii="Verdana" w:hAnsi="Verdana"/>
                <w:sz w:val="16"/>
              </w:rPr>
            </w:pPr>
            <w:r>
              <w:rPr>
                <w:rFonts w:ascii="Verdana" w:hAnsi="Verdana"/>
                <w:w w:val="105"/>
                <w:sz w:val="16"/>
              </w:rPr>
              <w:t>FINANCIRANJE UDRUGA CIVILNOG DRUŠTVA I OSTALIH ORGANIZACIJA</w:t>
            </w:r>
          </w:p>
          <w:p>
            <w:pPr>
              <w:pStyle w:val="TableParagraph"/>
              <w:spacing w:before="45"/>
              <w:ind w:left="82"/>
              <w:jc w:val="left"/>
              <w:rPr>
                <w:sz w:val="14"/>
              </w:rPr>
            </w:pPr>
            <w:r>
              <w:rPr>
                <w:sz w:val="14"/>
              </w:rPr>
              <w:t>Funkcija: 1090 Aktivnosti socijalne zaštite koje nisu drugdje svrstane</w:t>
            </w:r>
          </w:p>
        </w:tc>
        <w:tc>
          <w:tcPr>
            <w:tcW w:w="1832"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64"/>
              <w:jc w:val="left"/>
              <w:rPr>
                <w:rFonts w:ascii="Verdana"/>
                <w:sz w:val="16"/>
              </w:rPr>
            </w:pPr>
            <w:r>
              <w:rPr>
                <w:rFonts w:ascii="Verdana"/>
                <w:sz w:val="16"/>
              </w:rPr>
              <w:t>238.000,00</w:t>
            </w:r>
          </w:p>
        </w:tc>
        <w:tc>
          <w:tcPr>
            <w:tcW w:w="1830"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61"/>
              <w:jc w:val="left"/>
              <w:rPr>
                <w:rFonts w:ascii="Verdana"/>
                <w:sz w:val="16"/>
              </w:rPr>
            </w:pPr>
            <w:r>
              <w:rPr>
                <w:rFonts w:ascii="Verdana"/>
                <w:sz w:val="16"/>
              </w:rPr>
              <w:t>238.000,00</w:t>
            </w:r>
          </w:p>
        </w:tc>
        <w:tc>
          <w:tcPr>
            <w:tcW w:w="1830"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181.199,67</w:t>
            </w:r>
          </w:p>
        </w:tc>
        <w:tc>
          <w:tcPr>
            <w:tcW w:w="1104"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05"/>
              <w:jc w:val="left"/>
              <w:rPr>
                <w:rFonts w:ascii="Verdana"/>
                <w:sz w:val="16"/>
              </w:rPr>
            </w:pPr>
            <w:r>
              <w:rPr>
                <w:rFonts w:ascii="Verdana"/>
                <w:sz w:val="16"/>
              </w:rPr>
              <w:t>76,13%</w:t>
            </w:r>
          </w:p>
        </w:tc>
      </w:tr>
      <w:tr>
        <w:trPr>
          <w:trHeight w:val="182"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2"/>
              <w:ind w:left="11"/>
              <w:jc w:val="center"/>
              <w:rPr>
                <w:sz w:val="14"/>
              </w:rPr>
            </w:pPr>
            <w:r>
              <w:rPr>
                <w:sz w:val="14"/>
              </w:rPr>
              <w:t>Izv.</w:t>
            </w:r>
          </w:p>
        </w:tc>
        <w:tc>
          <w:tcPr>
            <w:tcW w:w="112" w:type="dxa"/>
            <w:tcBorders>
              <w:top w:val="single" w:sz="12" w:space="0" w:color="000000"/>
              <w:left w:val="single" w:sz="12" w:space="0" w:color="000000"/>
              <w:bottom w:val="single" w:sz="8" w:space="0" w:color="000000"/>
              <w:right w:val="single" w:sz="8" w:space="0" w:color="000000"/>
            </w:tcBorders>
            <w:shd w:val="clear" w:color="auto" w:fill="C0C0C0"/>
          </w:tcPr>
          <w:p>
            <w:pPr>
              <w:pStyle w:val="TableParagraph"/>
              <w:spacing w:line="162" w:lineRule="exact" w:before="0"/>
              <w:ind w:left="8"/>
              <w:jc w:val="left"/>
              <w:rPr>
                <w:sz w:val="14"/>
              </w:rPr>
            </w:pPr>
            <w:r>
              <w:rPr>
                <w:w w:val="100"/>
                <w:sz w:val="14"/>
              </w:rPr>
              <w:t>1</w:t>
            </w: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line="162" w:lineRule="exact" w:before="0"/>
              <w:ind w:left="14"/>
              <w:jc w:val="left"/>
              <w:rPr>
                <w:sz w:val="14"/>
              </w:rPr>
            </w:pPr>
            <w:r>
              <w:rPr>
                <w:w w:val="100"/>
                <w:sz w:val="14"/>
              </w:rPr>
              <w:t>3</w:t>
            </w:r>
          </w:p>
        </w:tc>
        <w:tc>
          <w:tcPr>
            <w:tcW w:w="112"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12"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1" w:type="dxa"/>
            <w:tcBorders>
              <w:top w:val="single" w:sz="12"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3" w:type="dxa"/>
            <w:tcBorders>
              <w:top w:val="single" w:sz="12"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7"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2"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0"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0"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4"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381</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48"/>
              <w:rPr>
                <w:sz w:val="16"/>
              </w:rPr>
            </w:pPr>
            <w:r>
              <w:rPr>
                <w:sz w:val="16"/>
              </w:rPr>
              <w:t>238.000,00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238.000,00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181.199,67</w:t>
            </w:r>
          </w:p>
        </w:tc>
        <w:tc>
          <w:tcPr>
            <w:tcW w:w="1104" w:type="dxa"/>
            <w:tcBorders>
              <w:top w:val="single" w:sz="8" w:space="0" w:color="000000"/>
              <w:left w:val="single" w:sz="2" w:space="0" w:color="000000"/>
              <w:bottom w:val="single" w:sz="8" w:space="0" w:color="000000"/>
              <w:right w:val="nil"/>
            </w:tcBorders>
          </w:tcPr>
          <w:p>
            <w:pPr>
              <w:pStyle w:val="TableParagraph"/>
              <w:ind w:right="45"/>
              <w:rPr>
                <w:sz w:val="16"/>
              </w:rPr>
            </w:pPr>
            <w:r>
              <w:rPr>
                <w:sz w:val="16"/>
              </w:rPr>
              <w:t>76,13%</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3811</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 u novcu</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48"/>
              <w:rPr>
                <w:sz w:val="16"/>
              </w:rPr>
            </w:pPr>
            <w:r>
              <w:rPr>
                <w:sz w:val="16"/>
              </w:rPr>
              <w:t>238.000,00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238.000,00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181.199,67</w:t>
            </w:r>
          </w:p>
        </w:tc>
        <w:tc>
          <w:tcPr>
            <w:tcW w:w="1104" w:type="dxa"/>
            <w:tcBorders>
              <w:top w:val="single" w:sz="8" w:space="0" w:color="000000"/>
              <w:left w:val="single" w:sz="2" w:space="0" w:color="000000"/>
              <w:bottom w:val="single" w:sz="8" w:space="0" w:color="000000"/>
              <w:right w:val="nil"/>
            </w:tcBorders>
          </w:tcPr>
          <w:p>
            <w:pPr>
              <w:pStyle w:val="TableParagraph"/>
              <w:ind w:right="45"/>
              <w:rPr>
                <w:sz w:val="16"/>
              </w:rPr>
            </w:pPr>
            <w:r>
              <w:rPr>
                <w:sz w:val="16"/>
              </w:rPr>
              <w:t>76,13%</w:t>
            </w:r>
          </w:p>
        </w:tc>
      </w:tr>
      <w:tr>
        <w:trPr>
          <w:trHeight w:val="503" w:hRule="atLeast"/>
        </w:trPr>
        <w:tc>
          <w:tcPr>
            <w:tcW w:w="1135"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2020</w:t>
            </w:r>
          </w:p>
        </w:tc>
        <w:tc>
          <w:tcPr>
            <w:tcW w:w="7777"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82"/>
              <w:jc w:val="left"/>
              <w:rPr>
                <w:rFonts w:ascii="Verdana"/>
                <w:sz w:val="20"/>
              </w:rPr>
            </w:pPr>
            <w:r>
              <w:rPr>
                <w:rFonts w:ascii="Verdana"/>
                <w:sz w:val="20"/>
              </w:rPr>
              <w:t>PROGRAM JAVNIH POTREBA U SPORTU</w:t>
            </w:r>
          </w:p>
        </w:tc>
        <w:tc>
          <w:tcPr>
            <w:tcW w:w="1832"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65"/>
              <w:rPr>
                <w:rFonts w:ascii="Verdana"/>
                <w:sz w:val="20"/>
              </w:rPr>
            </w:pPr>
            <w:r>
              <w:rPr>
                <w:rFonts w:ascii="Verdana"/>
                <w:sz w:val="20"/>
              </w:rPr>
              <w:t>136.000,00</w:t>
            </w:r>
          </w:p>
        </w:tc>
        <w:tc>
          <w:tcPr>
            <w:tcW w:w="1830"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66"/>
              <w:rPr>
                <w:rFonts w:ascii="Verdana"/>
                <w:sz w:val="20"/>
              </w:rPr>
            </w:pPr>
            <w:r>
              <w:rPr>
                <w:rFonts w:ascii="Verdana"/>
                <w:sz w:val="20"/>
              </w:rPr>
              <w:t>136.000,00</w:t>
            </w:r>
          </w:p>
        </w:tc>
        <w:tc>
          <w:tcPr>
            <w:tcW w:w="1830"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67"/>
              <w:rPr>
                <w:rFonts w:ascii="Verdana"/>
                <w:sz w:val="20"/>
              </w:rPr>
            </w:pPr>
            <w:r>
              <w:rPr>
                <w:rFonts w:ascii="Verdana"/>
                <w:sz w:val="20"/>
              </w:rPr>
              <w:t>66.000,00</w:t>
            </w:r>
          </w:p>
        </w:tc>
        <w:tc>
          <w:tcPr>
            <w:tcW w:w="1104"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52"/>
              <w:rPr>
                <w:rFonts w:ascii="Verdana"/>
                <w:sz w:val="20"/>
              </w:rPr>
            </w:pPr>
            <w:r>
              <w:rPr>
                <w:rFonts w:ascii="Verdana"/>
                <w:sz w:val="20"/>
              </w:rPr>
              <w:t>48,53%</w:t>
            </w:r>
          </w:p>
        </w:tc>
      </w:tr>
      <w:tr>
        <w:trPr>
          <w:trHeight w:val="236" w:hRule="atLeast"/>
        </w:trPr>
        <w:tc>
          <w:tcPr>
            <w:tcW w:w="1135"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7"/>
                <w:sz w:val="16"/>
              </w:rPr>
              <w:t> </w:t>
            </w:r>
            <w:r>
              <w:rPr>
                <w:rFonts w:ascii="Verdana"/>
                <w:spacing w:val="-3"/>
                <w:sz w:val="16"/>
              </w:rPr>
              <w:t>A202010</w:t>
            </w:r>
          </w:p>
        </w:tc>
        <w:tc>
          <w:tcPr>
            <w:tcW w:w="7777"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2"/>
              <w:jc w:val="left"/>
              <w:rPr>
                <w:rFonts w:ascii="Verdana" w:hAnsi="Verdana"/>
                <w:sz w:val="16"/>
              </w:rPr>
            </w:pPr>
            <w:r>
              <w:rPr>
                <w:rFonts w:ascii="Verdana" w:hAnsi="Verdana"/>
                <w:w w:val="105"/>
                <w:sz w:val="16"/>
              </w:rPr>
              <w:t>FINANCIRANJE ZAJEDNICE SPORTSKIH UDRUGA I ŠPORTSKIH DRUŠTAVA</w:t>
            </w:r>
          </w:p>
          <w:p>
            <w:pPr>
              <w:pStyle w:val="TableParagraph"/>
              <w:spacing w:before="45"/>
              <w:ind w:left="82"/>
              <w:jc w:val="left"/>
              <w:rPr>
                <w:sz w:val="14"/>
              </w:rPr>
            </w:pPr>
            <w:r>
              <w:rPr>
                <w:sz w:val="14"/>
              </w:rPr>
              <w:t>Funkcija: 0810 Službe rekreacije i športa</w:t>
            </w:r>
          </w:p>
        </w:tc>
        <w:tc>
          <w:tcPr>
            <w:tcW w:w="1832"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64"/>
              <w:jc w:val="left"/>
              <w:rPr>
                <w:rFonts w:ascii="Verdana"/>
                <w:sz w:val="16"/>
              </w:rPr>
            </w:pPr>
            <w:r>
              <w:rPr>
                <w:rFonts w:ascii="Verdana"/>
                <w:sz w:val="16"/>
              </w:rPr>
              <w:t>136.000,00</w:t>
            </w:r>
          </w:p>
        </w:tc>
        <w:tc>
          <w:tcPr>
            <w:tcW w:w="1830"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61"/>
              <w:jc w:val="left"/>
              <w:rPr>
                <w:rFonts w:ascii="Verdana"/>
                <w:sz w:val="16"/>
              </w:rPr>
            </w:pPr>
            <w:r>
              <w:rPr>
                <w:rFonts w:ascii="Verdana"/>
                <w:sz w:val="16"/>
              </w:rPr>
              <w:t>136.000,00</w:t>
            </w:r>
          </w:p>
        </w:tc>
        <w:tc>
          <w:tcPr>
            <w:tcW w:w="1830"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8"/>
              <w:jc w:val="left"/>
              <w:rPr>
                <w:rFonts w:ascii="Verdana"/>
                <w:sz w:val="16"/>
              </w:rPr>
            </w:pPr>
            <w:r>
              <w:rPr>
                <w:rFonts w:ascii="Verdana"/>
                <w:sz w:val="16"/>
              </w:rPr>
              <w:t>66.000,00</w:t>
            </w:r>
          </w:p>
        </w:tc>
        <w:tc>
          <w:tcPr>
            <w:tcW w:w="1104"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05"/>
              <w:jc w:val="left"/>
              <w:rPr>
                <w:rFonts w:ascii="Verdana"/>
                <w:sz w:val="16"/>
              </w:rPr>
            </w:pPr>
            <w:r>
              <w:rPr>
                <w:rFonts w:ascii="Verdana"/>
                <w:sz w:val="16"/>
              </w:rPr>
              <w:t>48,53%</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1"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3"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7"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2"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0"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0"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4"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7"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381</w:t>
            </w:r>
          </w:p>
        </w:tc>
        <w:tc>
          <w:tcPr>
            <w:tcW w:w="398"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spacing w:before="5"/>
              <w:ind w:left="90"/>
              <w:jc w:val="left"/>
              <w:rPr>
                <w:sz w:val="16"/>
              </w:rPr>
            </w:pPr>
            <w:r>
              <w:rPr>
                <w:sz w:val="16"/>
              </w:rPr>
              <w:t>Tekuće donacije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spacing w:before="5"/>
              <w:ind w:right="48"/>
              <w:rPr>
                <w:sz w:val="16"/>
              </w:rPr>
            </w:pPr>
            <w:r>
              <w:rPr>
                <w:sz w:val="16"/>
              </w:rPr>
              <w:t>136.000,00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spacing w:before="5"/>
              <w:ind w:right="51"/>
              <w:rPr>
                <w:sz w:val="16"/>
              </w:rPr>
            </w:pPr>
            <w:r>
              <w:rPr>
                <w:sz w:val="16"/>
              </w:rPr>
              <w:t>136.000,00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spacing w:before="5"/>
              <w:ind w:right="52"/>
              <w:rPr>
                <w:sz w:val="16"/>
              </w:rPr>
            </w:pPr>
            <w:r>
              <w:rPr>
                <w:sz w:val="16"/>
              </w:rPr>
              <w:t>66.000,00</w:t>
            </w:r>
          </w:p>
        </w:tc>
        <w:tc>
          <w:tcPr>
            <w:tcW w:w="1104" w:type="dxa"/>
            <w:tcBorders>
              <w:top w:val="single" w:sz="8" w:space="0" w:color="000000"/>
              <w:left w:val="single" w:sz="2" w:space="0" w:color="000000"/>
              <w:bottom w:val="single" w:sz="8" w:space="0" w:color="000000"/>
              <w:right w:val="nil"/>
            </w:tcBorders>
          </w:tcPr>
          <w:p>
            <w:pPr>
              <w:pStyle w:val="TableParagraph"/>
              <w:spacing w:before="5"/>
              <w:ind w:right="45"/>
              <w:rPr>
                <w:sz w:val="16"/>
              </w:rPr>
            </w:pPr>
            <w:r>
              <w:rPr>
                <w:sz w:val="16"/>
              </w:rPr>
              <w:t>48,53%</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3811</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Tekuće donacije u novcu</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48"/>
              <w:rPr>
                <w:sz w:val="16"/>
              </w:rPr>
            </w:pPr>
            <w:r>
              <w:rPr>
                <w:sz w:val="16"/>
              </w:rPr>
              <w:t>136.000,00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136.000,00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2"/>
              <w:rPr>
                <w:sz w:val="16"/>
              </w:rPr>
            </w:pPr>
            <w:r>
              <w:rPr>
                <w:sz w:val="16"/>
              </w:rPr>
              <w:t>66.000,00</w:t>
            </w:r>
          </w:p>
        </w:tc>
        <w:tc>
          <w:tcPr>
            <w:tcW w:w="1104" w:type="dxa"/>
            <w:tcBorders>
              <w:top w:val="single" w:sz="8" w:space="0" w:color="000000"/>
              <w:left w:val="single" w:sz="2" w:space="0" w:color="000000"/>
              <w:bottom w:val="single" w:sz="8" w:space="0" w:color="000000"/>
              <w:right w:val="nil"/>
            </w:tcBorders>
          </w:tcPr>
          <w:p>
            <w:pPr>
              <w:pStyle w:val="TableParagraph"/>
              <w:ind w:right="45"/>
              <w:rPr>
                <w:sz w:val="16"/>
              </w:rPr>
            </w:pPr>
            <w:r>
              <w:rPr>
                <w:sz w:val="16"/>
              </w:rPr>
              <w:t>48,53%</w:t>
            </w:r>
          </w:p>
        </w:tc>
      </w:tr>
      <w:tr>
        <w:trPr>
          <w:trHeight w:val="505" w:hRule="atLeast"/>
        </w:trPr>
        <w:tc>
          <w:tcPr>
            <w:tcW w:w="1135" w:type="dxa"/>
            <w:gridSpan w:val="8"/>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right="-15"/>
              <w:jc w:val="left"/>
              <w:rPr>
                <w:rFonts w:ascii="Verdana"/>
                <w:sz w:val="16"/>
              </w:rPr>
            </w:pPr>
            <w:r>
              <w:rPr>
                <w:rFonts w:ascii="Verdana"/>
                <w:sz w:val="16"/>
              </w:rPr>
              <w:t>00202</w:t>
            </w:r>
          </w:p>
        </w:tc>
        <w:tc>
          <w:tcPr>
            <w:tcW w:w="7777"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82"/>
              <w:jc w:val="left"/>
              <w:rPr>
                <w:rFonts w:ascii="Verdana" w:hAnsi="Verdana"/>
                <w:sz w:val="20"/>
              </w:rPr>
            </w:pPr>
            <w:r>
              <w:rPr>
                <w:rFonts w:ascii="Verdana" w:hAnsi="Verdana"/>
                <w:sz w:val="20"/>
              </w:rPr>
              <w:t>PRORAČUNSKI KORISNIK: 27476- PUČKO OTVORENO UČILIŠTE</w:t>
            </w:r>
          </w:p>
        </w:tc>
        <w:tc>
          <w:tcPr>
            <w:tcW w:w="1832"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65"/>
              <w:rPr>
                <w:rFonts w:ascii="Verdana"/>
                <w:sz w:val="20"/>
              </w:rPr>
            </w:pPr>
            <w:r>
              <w:rPr>
                <w:rFonts w:ascii="Verdana"/>
                <w:sz w:val="20"/>
              </w:rPr>
              <w:t>28.952,96</w:t>
            </w:r>
          </w:p>
        </w:tc>
        <w:tc>
          <w:tcPr>
            <w:tcW w:w="183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66"/>
              <w:rPr>
                <w:rFonts w:ascii="Verdana"/>
                <w:sz w:val="20"/>
              </w:rPr>
            </w:pPr>
            <w:r>
              <w:rPr>
                <w:rFonts w:ascii="Verdana"/>
                <w:sz w:val="20"/>
              </w:rPr>
              <w:t>28.952,96</w:t>
            </w:r>
          </w:p>
        </w:tc>
        <w:tc>
          <w:tcPr>
            <w:tcW w:w="1830"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67"/>
              <w:rPr>
                <w:rFonts w:ascii="Verdana"/>
                <w:sz w:val="20"/>
              </w:rPr>
            </w:pPr>
            <w:r>
              <w:rPr>
                <w:rFonts w:ascii="Verdana"/>
                <w:sz w:val="20"/>
              </w:rPr>
              <w:t>3.178,59</w:t>
            </w:r>
          </w:p>
        </w:tc>
        <w:tc>
          <w:tcPr>
            <w:tcW w:w="1104"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52"/>
              <w:rPr>
                <w:rFonts w:ascii="Verdana"/>
                <w:sz w:val="20"/>
              </w:rPr>
            </w:pPr>
            <w:r>
              <w:rPr>
                <w:rFonts w:ascii="Verdana"/>
                <w:sz w:val="20"/>
              </w:rPr>
              <w:t>10,98%</w:t>
            </w:r>
          </w:p>
        </w:tc>
      </w:tr>
      <w:tr>
        <w:trPr>
          <w:trHeight w:val="505" w:hRule="atLeast"/>
        </w:trPr>
        <w:tc>
          <w:tcPr>
            <w:tcW w:w="1135"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2012</w:t>
            </w:r>
          </w:p>
        </w:tc>
        <w:tc>
          <w:tcPr>
            <w:tcW w:w="7777"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82"/>
              <w:jc w:val="left"/>
              <w:rPr>
                <w:rFonts w:ascii="Verdana" w:hAnsi="Verdana"/>
                <w:sz w:val="20"/>
              </w:rPr>
            </w:pPr>
            <w:r>
              <w:rPr>
                <w:rFonts w:ascii="Verdana" w:hAnsi="Verdana"/>
                <w:sz w:val="20"/>
              </w:rPr>
              <w:t>POSLOVANJE PUČKOG OTVORENOG UČILIŠTA KATARINA ZRINSKA</w:t>
            </w:r>
          </w:p>
        </w:tc>
        <w:tc>
          <w:tcPr>
            <w:tcW w:w="1832"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65"/>
              <w:rPr>
                <w:rFonts w:ascii="Verdana"/>
                <w:sz w:val="20"/>
              </w:rPr>
            </w:pPr>
            <w:r>
              <w:rPr>
                <w:rFonts w:ascii="Verdana"/>
                <w:sz w:val="20"/>
              </w:rPr>
              <w:t>28.952,96</w:t>
            </w:r>
          </w:p>
        </w:tc>
        <w:tc>
          <w:tcPr>
            <w:tcW w:w="1830"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66"/>
              <w:rPr>
                <w:rFonts w:ascii="Verdana"/>
                <w:sz w:val="20"/>
              </w:rPr>
            </w:pPr>
            <w:r>
              <w:rPr>
                <w:rFonts w:ascii="Verdana"/>
                <w:sz w:val="20"/>
              </w:rPr>
              <w:t>28.952,96</w:t>
            </w:r>
          </w:p>
        </w:tc>
        <w:tc>
          <w:tcPr>
            <w:tcW w:w="1830"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67"/>
              <w:rPr>
                <w:rFonts w:ascii="Verdana"/>
                <w:sz w:val="20"/>
              </w:rPr>
            </w:pPr>
            <w:r>
              <w:rPr>
                <w:rFonts w:ascii="Verdana"/>
                <w:sz w:val="20"/>
              </w:rPr>
              <w:t>3.178,59</w:t>
            </w:r>
          </w:p>
        </w:tc>
        <w:tc>
          <w:tcPr>
            <w:tcW w:w="1104"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52"/>
              <w:rPr>
                <w:rFonts w:ascii="Verdana"/>
                <w:sz w:val="20"/>
              </w:rPr>
            </w:pPr>
            <w:r>
              <w:rPr>
                <w:rFonts w:ascii="Verdana"/>
                <w:sz w:val="20"/>
              </w:rPr>
              <w:t>10,98%</w:t>
            </w:r>
          </w:p>
        </w:tc>
      </w:tr>
      <w:tr>
        <w:trPr>
          <w:trHeight w:val="236" w:hRule="atLeast"/>
        </w:trPr>
        <w:tc>
          <w:tcPr>
            <w:tcW w:w="1135"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7"/>
                <w:sz w:val="16"/>
              </w:rPr>
              <w:t> </w:t>
            </w:r>
            <w:r>
              <w:rPr>
                <w:rFonts w:ascii="Verdana"/>
                <w:spacing w:val="-3"/>
                <w:sz w:val="16"/>
              </w:rPr>
              <w:t>A201210</w:t>
            </w:r>
          </w:p>
        </w:tc>
        <w:tc>
          <w:tcPr>
            <w:tcW w:w="7777"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2"/>
              <w:jc w:val="left"/>
              <w:rPr>
                <w:rFonts w:ascii="Verdana"/>
                <w:sz w:val="16"/>
              </w:rPr>
            </w:pPr>
            <w:r>
              <w:rPr>
                <w:rFonts w:ascii="Verdana"/>
                <w:sz w:val="16"/>
              </w:rPr>
              <w:t>OBAVLJANJE REDOVNE DJELATNOSTI POU</w:t>
            </w:r>
          </w:p>
          <w:p>
            <w:pPr>
              <w:pStyle w:val="TableParagraph"/>
              <w:spacing w:before="45"/>
              <w:ind w:left="82"/>
              <w:jc w:val="left"/>
              <w:rPr>
                <w:sz w:val="14"/>
              </w:rPr>
            </w:pPr>
            <w:r>
              <w:rPr>
                <w:sz w:val="14"/>
              </w:rPr>
              <w:t>Funkcija: 0820 Službe kulture</w:t>
            </w:r>
          </w:p>
        </w:tc>
        <w:tc>
          <w:tcPr>
            <w:tcW w:w="1832"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65"/>
              <w:jc w:val="left"/>
              <w:rPr>
                <w:rFonts w:ascii="Verdana"/>
                <w:sz w:val="16"/>
              </w:rPr>
            </w:pPr>
            <w:r>
              <w:rPr>
                <w:rFonts w:ascii="Verdana"/>
                <w:sz w:val="16"/>
              </w:rPr>
              <w:t>28.952,96</w:t>
            </w:r>
          </w:p>
        </w:tc>
        <w:tc>
          <w:tcPr>
            <w:tcW w:w="1830"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61"/>
              <w:jc w:val="left"/>
              <w:rPr>
                <w:rFonts w:ascii="Verdana"/>
                <w:sz w:val="16"/>
              </w:rPr>
            </w:pPr>
            <w:r>
              <w:rPr>
                <w:rFonts w:ascii="Verdana"/>
                <w:sz w:val="16"/>
              </w:rPr>
              <w:t>28.952,96</w:t>
            </w:r>
          </w:p>
        </w:tc>
        <w:tc>
          <w:tcPr>
            <w:tcW w:w="1830"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1059"/>
              <w:jc w:val="left"/>
              <w:rPr>
                <w:rFonts w:ascii="Verdana"/>
                <w:sz w:val="16"/>
              </w:rPr>
            </w:pPr>
            <w:r>
              <w:rPr>
                <w:rFonts w:ascii="Verdana"/>
                <w:sz w:val="16"/>
              </w:rPr>
              <w:t>3.178,59</w:t>
            </w:r>
          </w:p>
        </w:tc>
        <w:tc>
          <w:tcPr>
            <w:tcW w:w="1104"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05"/>
              <w:jc w:val="left"/>
              <w:rPr>
                <w:rFonts w:ascii="Verdana"/>
                <w:sz w:val="16"/>
              </w:rPr>
            </w:pPr>
            <w:r>
              <w:rPr>
                <w:rFonts w:ascii="Verdana"/>
                <w:sz w:val="16"/>
              </w:rPr>
              <w:t>10,98%</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ind w:left="11"/>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8"/>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1"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3"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7"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2"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0"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0"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4"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321</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Naknade troškova zaposlenima</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4.500,00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4.500,00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0,00</w:t>
            </w:r>
          </w:p>
        </w:tc>
        <w:tc>
          <w:tcPr>
            <w:tcW w:w="1104" w:type="dxa"/>
            <w:tcBorders>
              <w:top w:val="single" w:sz="8" w:space="0" w:color="000000"/>
              <w:left w:val="single" w:sz="2" w:space="0" w:color="000000"/>
              <w:bottom w:val="single" w:sz="8" w:space="0" w:color="000000"/>
              <w:right w:val="nil"/>
            </w:tcBorders>
          </w:tcPr>
          <w:p>
            <w:pPr>
              <w:pStyle w:val="TableParagraph"/>
              <w:ind w:right="45"/>
              <w:rPr>
                <w:sz w:val="16"/>
              </w:rPr>
            </w:pPr>
            <w:r>
              <w:rPr>
                <w:sz w:val="16"/>
              </w:rPr>
              <w:t>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3213</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Stručno usavršavanje zaposlenika</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4.500,00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4.500,00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0,00</w:t>
            </w:r>
          </w:p>
        </w:tc>
        <w:tc>
          <w:tcPr>
            <w:tcW w:w="1104" w:type="dxa"/>
            <w:tcBorders>
              <w:top w:val="single" w:sz="8" w:space="0" w:color="000000"/>
              <w:left w:val="single" w:sz="2" w:space="0" w:color="000000"/>
              <w:bottom w:val="single" w:sz="8" w:space="0" w:color="000000"/>
              <w:right w:val="nil"/>
            </w:tcBorders>
          </w:tcPr>
          <w:p>
            <w:pPr>
              <w:pStyle w:val="TableParagraph"/>
              <w:ind w:right="45"/>
              <w:rPr>
                <w:sz w:val="16"/>
              </w:rPr>
            </w:pPr>
            <w:r>
              <w:rPr>
                <w:sz w:val="16"/>
              </w:rPr>
              <w:t>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322</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Rashodi za materijal i energiju</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3.400,00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3.400,00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1.378,59</w:t>
            </w:r>
          </w:p>
        </w:tc>
        <w:tc>
          <w:tcPr>
            <w:tcW w:w="1104" w:type="dxa"/>
            <w:tcBorders>
              <w:top w:val="single" w:sz="8" w:space="0" w:color="000000"/>
              <w:left w:val="single" w:sz="2" w:space="0" w:color="000000"/>
              <w:bottom w:val="single" w:sz="8" w:space="0" w:color="000000"/>
              <w:right w:val="nil"/>
            </w:tcBorders>
          </w:tcPr>
          <w:p>
            <w:pPr>
              <w:pStyle w:val="TableParagraph"/>
              <w:ind w:right="45"/>
              <w:rPr>
                <w:sz w:val="16"/>
              </w:rPr>
            </w:pPr>
            <w:r>
              <w:rPr>
                <w:sz w:val="16"/>
              </w:rPr>
              <w:t>40,55%</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3221</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Uredski materijal i ostali materijalni rashodi</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3.000,00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3.000,00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1.378,59</w:t>
            </w:r>
          </w:p>
        </w:tc>
        <w:tc>
          <w:tcPr>
            <w:tcW w:w="1104" w:type="dxa"/>
            <w:tcBorders>
              <w:top w:val="single" w:sz="8" w:space="0" w:color="000000"/>
              <w:left w:val="single" w:sz="2" w:space="0" w:color="000000"/>
              <w:bottom w:val="single" w:sz="8" w:space="0" w:color="000000"/>
              <w:right w:val="nil"/>
            </w:tcBorders>
          </w:tcPr>
          <w:p>
            <w:pPr>
              <w:pStyle w:val="TableParagraph"/>
              <w:ind w:right="45"/>
              <w:rPr>
                <w:sz w:val="16"/>
              </w:rPr>
            </w:pPr>
            <w:r>
              <w:rPr>
                <w:sz w:val="16"/>
              </w:rPr>
              <w:t>45,95%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3225</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Sitni inventar i auto gume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400,00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400,00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0,00</w:t>
            </w:r>
          </w:p>
        </w:tc>
        <w:tc>
          <w:tcPr>
            <w:tcW w:w="1104" w:type="dxa"/>
            <w:tcBorders>
              <w:top w:val="single" w:sz="8" w:space="0" w:color="000000"/>
              <w:left w:val="single" w:sz="2" w:space="0" w:color="000000"/>
              <w:bottom w:val="single" w:sz="8" w:space="0" w:color="000000"/>
              <w:right w:val="nil"/>
            </w:tcBorders>
          </w:tcPr>
          <w:p>
            <w:pPr>
              <w:pStyle w:val="TableParagraph"/>
              <w:ind w:right="45"/>
              <w:rPr>
                <w:sz w:val="16"/>
              </w:rPr>
            </w:pPr>
            <w:r>
              <w:rPr>
                <w:sz w:val="16"/>
              </w:rPr>
              <w:t>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323</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Rashodi za usluge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1.900,00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1.900,00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0,00</w:t>
            </w:r>
          </w:p>
        </w:tc>
        <w:tc>
          <w:tcPr>
            <w:tcW w:w="1104" w:type="dxa"/>
            <w:tcBorders>
              <w:top w:val="single" w:sz="8" w:space="0" w:color="000000"/>
              <w:left w:val="single" w:sz="2" w:space="0" w:color="000000"/>
              <w:bottom w:val="single" w:sz="8" w:space="0" w:color="000000"/>
              <w:right w:val="nil"/>
            </w:tcBorders>
          </w:tcPr>
          <w:p>
            <w:pPr>
              <w:pStyle w:val="TableParagraph"/>
              <w:ind w:right="45"/>
              <w:rPr>
                <w:sz w:val="16"/>
              </w:rPr>
            </w:pPr>
            <w:r>
              <w:rPr>
                <w:sz w:val="16"/>
              </w:rPr>
              <w:t>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3231</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Usluge telefona, pošte i prijevoza</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1.000,00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0,00</w:t>
            </w:r>
          </w:p>
        </w:tc>
        <w:tc>
          <w:tcPr>
            <w:tcW w:w="1104"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6"/>
              </w:rPr>
            </w:pP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3237</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Intelektualne i osobne usluge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0,00</w:t>
            </w:r>
          </w:p>
        </w:tc>
        <w:tc>
          <w:tcPr>
            <w:tcW w:w="1104"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6"/>
              </w:rPr>
            </w:pP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3239</w:t>
            </w:r>
          </w:p>
        </w:tc>
        <w:tc>
          <w:tcPr>
            <w:tcW w:w="398"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single" w:sz="8" w:space="0" w:color="000000"/>
              <w:right w:val="single" w:sz="2" w:space="0" w:color="000000"/>
            </w:tcBorders>
          </w:tcPr>
          <w:p>
            <w:pPr>
              <w:pStyle w:val="TableParagraph"/>
              <w:ind w:left="90"/>
              <w:jc w:val="left"/>
              <w:rPr>
                <w:sz w:val="16"/>
              </w:rPr>
            </w:pPr>
            <w:r>
              <w:rPr>
                <w:sz w:val="16"/>
              </w:rPr>
              <w:t>Ostale usluge</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50"/>
              <w:rPr>
                <w:sz w:val="16"/>
              </w:rPr>
            </w:pPr>
            <w:r>
              <w:rPr>
                <w:sz w:val="16"/>
              </w:rPr>
              <w:t>900,00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1.900,00</w:t>
            </w:r>
          </w:p>
        </w:tc>
        <w:tc>
          <w:tcPr>
            <w:tcW w:w="1830"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0,00</w:t>
            </w:r>
          </w:p>
        </w:tc>
        <w:tc>
          <w:tcPr>
            <w:tcW w:w="1104" w:type="dxa"/>
            <w:tcBorders>
              <w:top w:val="single" w:sz="8" w:space="0" w:color="000000"/>
              <w:left w:val="single" w:sz="2" w:space="0" w:color="000000"/>
              <w:bottom w:val="single" w:sz="8" w:space="0" w:color="000000"/>
              <w:right w:val="nil"/>
            </w:tcBorders>
          </w:tcPr>
          <w:p>
            <w:pPr>
              <w:pStyle w:val="TableParagraph"/>
              <w:ind w:right="45"/>
              <w:rPr>
                <w:sz w:val="16"/>
              </w:rPr>
            </w:pPr>
            <w:r>
              <w:rPr>
                <w:sz w:val="16"/>
              </w:rPr>
              <w:t>0,00%</w:t>
            </w:r>
          </w:p>
        </w:tc>
      </w:tr>
      <w:tr>
        <w:trPr>
          <w:trHeight w:val="282" w:hRule="atLeast"/>
        </w:trPr>
        <w:tc>
          <w:tcPr>
            <w:tcW w:w="737" w:type="dxa"/>
            <w:gridSpan w:val="5"/>
            <w:tcBorders>
              <w:top w:val="single" w:sz="8" w:space="0" w:color="000000"/>
              <w:left w:val="nil"/>
              <w:bottom w:val="nil"/>
              <w:right w:val="single" w:sz="2" w:space="0" w:color="000000"/>
            </w:tcBorders>
          </w:tcPr>
          <w:p>
            <w:pPr>
              <w:pStyle w:val="TableParagraph"/>
              <w:ind w:left="457"/>
              <w:jc w:val="left"/>
              <w:rPr>
                <w:sz w:val="16"/>
              </w:rPr>
            </w:pPr>
            <w:r>
              <w:rPr>
                <w:sz w:val="16"/>
              </w:rPr>
              <w:t>324</w:t>
            </w:r>
          </w:p>
        </w:tc>
        <w:tc>
          <w:tcPr>
            <w:tcW w:w="398" w:type="dxa"/>
            <w:gridSpan w:val="3"/>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7" w:type="dxa"/>
            <w:tcBorders>
              <w:top w:val="single" w:sz="8" w:space="0" w:color="000000"/>
              <w:left w:val="single" w:sz="2" w:space="0" w:color="000000"/>
              <w:bottom w:val="nil"/>
              <w:right w:val="single" w:sz="2" w:space="0" w:color="000000"/>
            </w:tcBorders>
          </w:tcPr>
          <w:p>
            <w:pPr>
              <w:pStyle w:val="TableParagraph"/>
              <w:ind w:left="90"/>
              <w:jc w:val="left"/>
              <w:rPr>
                <w:sz w:val="16"/>
              </w:rPr>
            </w:pPr>
            <w:r>
              <w:rPr>
                <w:sz w:val="16"/>
              </w:rPr>
              <w:t>Naknade toškova osobama izvan radnog odnosa</w:t>
            </w:r>
          </w:p>
        </w:tc>
        <w:tc>
          <w:tcPr>
            <w:tcW w:w="1832" w:type="dxa"/>
            <w:tcBorders>
              <w:top w:val="single" w:sz="8" w:space="0" w:color="000000"/>
              <w:left w:val="single" w:sz="2" w:space="0" w:color="000000"/>
              <w:bottom w:val="nil"/>
              <w:right w:val="single" w:sz="2" w:space="0" w:color="000000"/>
            </w:tcBorders>
          </w:tcPr>
          <w:p>
            <w:pPr>
              <w:pStyle w:val="TableParagraph"/>
              <w:ind w:right="50"/>
              <w:rPr>
                <w:sz w:val="16"/>
              </w:rPr>
            </w:pPr>
            <w:r>
              <w:rPr>
                <w:sz w:val="16"/>
              </w:rPr>
              <w:t>5.552,96</w:t>
            </w:r>
          </w:p>
        </w:tc>
        <w:tc>
          <w:tcPr>
            <w:tcW w:w="1830" w:type="dxa"/>
            <w:tcBorders>
              <w:top w:val="single" w:sz="8" w:space="0" w:color="000000"/>
              <w:left w:val="single" w:sz="2" w:space="0" w:color="000000"/>
              <w:bottom w:val="nil"/>
              <w:right w:val="single" w:sz="2" w:space="0" w:color="000000"/>
            </w:tcBorders>
          </w:tcPr>
          <w:p>
            <w:pPr>
              <w:pStyle w:val="TableParagraph"/>
              <w:ind w:right="51"/>
              <w:rPr>
                <w:sz w:val="16"/>
              </w:rPr>
            </w:pPr>
            <w:r>
              <w:rPr>
                <w:sz w:val="16"/>
              </w:rPr>
              <w:t>5.552,96</w:t>
            </w:r>
          </w:p>
        </w:tc>
        <w:tc>
          <w:tcPr>
            <w:tcW w:w="1830" w:type="dxa"/>
            <w:tcBorders>
              <w:top w:val="single" w:sz="8" w:space="0" w:color="000000"/>
              <w:left w:val="single" w:sz="2" w:space="0" w:color="000000"/>
              <w:bottom w:val="nil"/>
              <w:right w:val="single" w:sz="2" w:space="0" w:color="000000"/>
            </w:tcBorders>
          </w:tcPr>
          <w:p>
            <w:pPr>
              <w:pStyle w:val="TableParagraph"/>
              <w:ind w:right="57"/>
              <w:rPr>
                <w:sz w:val="16"/>
              </w:rPr>
            </w:pPr>
            <w:r>
              <w:rPr>
                <w:sz w:val="16"/>
              </w:rPr>
              <w:t>0,00</w:t>
            </w:r>
          </w:p>
        </w:tc>
        <w:tc>
          <w:tcPr>
            <w:tcW w:w="1104" w:type="dxa"/>
            <w:tcBorders>
              <w:top w:val="single" w:sz="8" w:space="0" w:color="000000"/>
              <w:left w:val="single" w:sz="2" w:space="0" w:color="000000"/>
              <w:bottom w:val="nil"/>
              <w:right w:val="nil"/>
            </w:tcBorders>
          </w:tcPr>
          <w:p>
            <w:pPr>
              <w:pStyle w:val="TableParagraph"/>
              <w:ind w:right="45"/>
              <w:rPr>
                <w:sz w:val="16"/>
              </w:rPr>
            </w:pPr>
            <w:r>
              <w:rPr>
                <w:sz w:val="16"/>
              </w:rPr>
              <w:t>0,00%</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2"/>
        <w:gridCol w:w="116"/>
        <w:gridCol w:w="112"/>
        <w:gridCol w:w="174"/>
        <w:gridCol w:w="7778"/>
        <w:gridCol w:w="1833"/>
        <w:gridCol w:w="1831"/>
        <w:gridCol w:w="1831"/>
        <w:gridCol w:w="1105"/>
      </w:tblGrid>
      <w:tr>
        <w:trPr>
          <w:trHeight w:val="828" w:hRule="atLeast"/>
        </w:trPr>
        <w:tc>
          <w:tcPr>
            <w:tcW w:w="15517" w:type="dxa"/>
            <w:gridSpan w:val="13"/>
            <w:tcBorders>
              <w:left w:val="nil"/>
              <w:bottom w:val="single" w:sz="8" w:space="0" w:color="000000"/>
              <w:right w:val="nil"/>
            </w:tcBorders>
            <w:shd w:val="clear" w:color="auto" w:fill="C0C0C0"/>
          </w:tcPr>
          <w:p>
            <w:pPr>
              <w:pStyle w:val="TableParagraph"/>
              <w:spacing w:before="56"/>
              <w:ind w:left="1443" w:right="1463"/>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424"/>
              <w:jc w:val="center"/>
              <w:rPr>
                <w:rFonts w:ascii="Times New Roman"/>
                <w:sz w:val="22"/>
              </w:rPr>
            </w:pPr>
            <w:r>
              <w:rPr>
                <w:rFonts w:ascii="Times New Roman"/>
                <w:sz w:val="22"/>
              </w:rPr>
              <w:t>POSEBNI DIO- PROGRAMSKA KLASIFIKACIJA</w:t>
            </w:r>
          </w:p>
        </w:tc>
      </w:tr>
      <w:tr>
        <w:trPr>
          <w:trHeight w:val="846" w:hRule="atLeast"/>
        </w:trPr>
        <w:tc>
          <w:tcPr>
            <w:tcW w:w="1139"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30" w:hanging="5"/>
              <w:jc w:val="center"/>
              <w:rPr>
                <w:sz w:val="20"/>
              </w:rPr>
            </w:pPr>
            <w:r>
              <w:rPr>
                <w:sz w:val="20"/>
              </w:rPr>
              <w:t>Račun/ </w:t>
            </w:r>
            <w:r>
              <w:rPr>
                <w:w w:val="95"/>
                <w:sz w:val="20"/>
              </w:rPr>
              <w:t>Pozicija</w:t>
            </w:r>
          </w:p>
          <w:p>
            <w:pPr>
              <w:pStyle w:val="TableParagraph"/>
              <w:spacing w:before="84"/>
              <w:ind w:left="169"/>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72"/>
              <w:jc w:val="center"/>
              <w:rPr>
                <w:sz w:val="20"/>
              </w:rPr>
            </w:pPr>
            <w:r>
              <w:rPr>
                <w:sz w:val="20"/>
              </w:rPr>
              <w:t>Opis</w:t>
            </w:r>
          </w:p>
          <w:p>
            <w:pPr>
              <w:pStyle w:val="TableParagraph"/>
              <w:spacing w:before="4"/>
              <w:jc w:val="left"/>
              <w:rPr>
                <w:rFonts w:ascii="Times New Roman"/>
                <w:sz w:val="28"/>
              </w:rPr>
            </w:pPr>
          </w:p>
          <w:p>
            <w:pPr>
              <w:pStyle w:val="TableParagraph"/>
              <w:spacing w:before="0"/>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6" w:right="138"/>
              <w:jc w:val="center"/>
              <w:rPr>
                <w:sz w:val="20"/>
              </w:rPr>
            </w:pPr>
            <w:r>
              <w:rPr>
                <w:sz w:val="20"/>
              </w:rPr>
              <w:t>Izvorni plan za 2014. godinu</w:t>
            </w:r>
          </w:p>
          <w:p>
            <w:pPr>
              <w:pStyle w:val="TableParagraph"/>
              <w:spacing w:before="89"/>
              <w:ind w:left="32"/>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0" w:right="131"/>
              <w:jc w:val="center"/>
              <w:rPr>
                <w:sz w:val="20"/>
              </w:rPr>
            </w:pPr>
            <w:r>
              <w:rPr>
                <w:sz w:val="20"/>
              </w:rPr>
              <w:t>Tekući plan za 2014. godinu</w:t>
            </w:r>
          </w:p>
          <w:p>
            <w:pPr>
              <w:pStyle w:val="TableParagraph"/>
              <w:spacing w:before="89"/>
              <w:ind w:left="21"/>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5" w:right="131"/>
              <w:jc w:val="center"/>
              <w:rPr>
                <w:sz w:val="20"/>
              </w:rPr>
            </w:pPr>
            <w:r>
              <w:rPr>
                <w:sz w:val="20"/>
              </w:rPr>
              <w:t>Izvršenje 01.01.-</w:t>
            </w:r>
          </w:p>
          <w:p>
            <w:pPr>
              <w:pStyle w:val="TableParagraph"/>
              <w:spacing w:line="241" w:lineRule="exact" w:before="0"/>
              <w:ind w:left="147" w:right="130"/>
              <w:jc w:val="center"/>
              <w:rPr>
                <w:sz w:val="20"/>
              </w:rPr>
            </w:pPr>
            <w:r>
              <w:rPr>
                <w:sz w:val="20"/>
              </w:rPr>
              <w:t>30.06.2014.</w:t>
            </w:r>
          </w:p>
          <w:p>
            <w:pPr>
              <w:pStyle w:val="TableParagraph"/>
              <w:spacing w:before="90"/>
              <w:ind w:left="16"/>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34"/>
              <w:jc w:val="center"/>
              <w:rPr>
                <w:sz w:val="20"/>
              </w:rPr>
            </w:pPr>
            <w:r>
              <w:rPr>
                <w:w w:val="95"/>
                <w:sz w:val="20"/>
              </w:rPr>
              <w:t>Indeks </w:t>
            </w:r>
            <w:r>
              <w:rPr>
                <w:sz w:val="20"/>
              </w:rPr>
              <w:t>5/4</w:t>
            </w:r>
          </w:p>
          <w:p>
            <w:pPr>
              <w:pStyle w:val="TableParagraph"/>
              <w:spacing w:before="89"/>
              <w:ind w:left="30"/>
              <w:jc w:val="center"/>
              <w:rPr>
                <w:sz w:val="18"/>
              </w:rPr>
            </w:pPr>
            <w:r>
              <w:rPr>
                <w:w w:val="100"/>
                <w:sz w:val="18"/>
              </w:rPr>
              <w:t>6</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3241</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Naknade troškova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5.552,96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5.552,96</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329</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3.600,00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3.600,00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1.800,00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Reprezentacija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6"/>
              </w:rPr>
            </w:pP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3294</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Članarine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3.600,00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3.600,00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1.800,00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422</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4221</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Uredska oprema i namještaj</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426</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4262</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Ulaganja u računalne programe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505" w:hRule="atLeast"/>
        </w:trPr>
        <w:tc>
          <w:tcPr>
            <w:tcW w:w="1139" w:type="dxa"/>
            <w:gridSpan w:val="8"/>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jc w:val="left"/>
              <w:rPr>
                <w:rFonts w:ascii="Verdana"/>
                <w:sz w:val="16"/>
              </w:rPr>
            </w:pPr>
            <w:r>
              <w:rPr>
                <w:rFonts w:ascii="Verdana"/>
                <w:sz w:val="16"/>
              </w:rPr>
              <w:t>00203</w:t>
            </w:r>
          </w:p>
        </w:tc>
        <w:tc>
          <w:tcPr>
            <w:tcW w:w="7778"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line="240" w:lineRule="exact" w:before="16"/>
              <w:ind w:left="78"/>
              <w:jc w:val="left"/>
              <w:rPr>
                <w:rFonts w:ascii="Verdana" w:hAnsi="Verdana"/>
                <w:sz w:val="20"/>
              </w:rPr>
            </w:pPr>
            <w:r>
              <w:rPr>
                <w:rFonts w:ascii="Verdana" w:hAnsi="Verdana"/>
                <w:sz w:val="20"/>
              </w:rPr>
              <w:t>PRORAČUNSKI KORISNIK: 42694-GRADSKA KNJIŽNICA I ČITAONICA I.BELOSTENAC</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1"/>
              <w:rPr>
                <w:rFonts w:ascii="Verdana"/>
                <w:sz w:val="20"/>
              </w:rPr>
            </w:pPr>
            <w:r>
              <w:rPr>
                <w:rFonts w:ascii="Verdana"/>
                <w:sz w:val="20"/>
              </w:rPr>
              <w:t>505.000,00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3"/>
              <w:rPr>
                <w:rFonts w:ascii="Verdana"/>
                <w:sz w:val="20"/>
              </w:rPr>
            </w:pPr>
            <w:r>
              <w:rPr>
                <w:rFonts w:ascii="Verdana"/>
                <w:sz w:val="20"/>
              </w:rPr>
              <w:t>505.000,00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7"/>
              <w:rPr>
                <w:rFonts w:ascii="Verdana"/>
                <w:sz w:val="20"/>
              </w:rPr>
            </w:pPr>
            <w:r>
              <w:rPr>
                <w:rFonts w:ascii="Verdana"/>
                <w:sz w:val="20"/>
              </w:rPr>
              <w:t>229.870,38</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1"/>
              <w:rPr>
                <w:rFonts w:ascii="Verdana"/>
                <w:sz w:val="20"/>
              </w:rPr>
            </w:pPr>
            <w:r>
              <w:rPr>
                <w:rFonts w:ascii="Verdana"/>
                <w:sz w:val="20"/>
              </w:rPr>
              <w:t>45,52%</w:t>
            </w:r>
          </w:p>
        </w:tc>
      </w:tr>
      <w:tr>
        <w:trPr>
          <w:trHeight w:val="503" w:hRule="atLeast"/>
        </w:trPr>
        <w:tc>
          <w:tcPr>
            <w:tcW w:w="1139"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2013</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8"/>
              <w:jc w:val="left"/>
              <w:rPr>
                <w:rFonts w:ascii="Verdana" w:hAnsi="Verdana"/>
                <w:sz w:val="20"/>
              </w:rPr>
            </w:pPr>
            <w:r>
              <w:rPr>
                <w:rFonts w:ascii="Verdana" w:hAnsi="Verdana"/>
                <w:sz w:val="20"/>
              </w:rPr>
              <w:t>POSLOVANJE GRADSKE KNJIŽNICE I ČITAONICE IVAN BELOSTENAC</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1"/>
              <w:rPr>
                <w:rFonts w:ascii="Verdana"/>
                <w:sz w:val="20"/>
              </w:rPr>
            </w:pPr>
            <w:r>
              <w:rPr>
                <w:rFonts w:ascii="Verdana"/>
                <w:sz w:val="20"/>
              </w:rPr>
              <w:t>505.000,00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3"/>
              <w:rPr>
                <w:rFonts w:ascii="Verdana"/>
                <w:sz w:val="20"/>
              </w:rPr>
            </w:pPr>
            <w:r>
              <w:rPr>
                <w:rFonts w:ascii="Verdana"/>
                <w:sz w:val="20"/>
              </w:rPr>
              <w:t>505.000,00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7"/>
              <w:rPr>
                <w:rFonts w:ascii="Verdana"/>
                <w:sz w:val="20"/>
              </w:rPr>
            </w:pPr>
            <w:r>
              <w:rPr>
                <w:rFonts w:ascii="Verdana"/>
                <w:sz w:val="20"/>
              </w:rPr>
              <w:t>229.870,38</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1"/>
              <w:rPr>
                <w:rFonts w:ascii="Verdana"/>
                <w:sz w:val="20"/>
              </w:rPr>
            </w:pPr>
            <w:r>
              <w:rPr>
                <w:rFonts w:ascii="Verdana"/>
                <w:sz w:val="20"/>
              </w:rPr>
              <w:t>45,52%</w:t>
            </w:r>
          </w:p>
        </w:tc>
      </w:tr>
      <w:tr>
        <w:trPr>
          <w:trHeight w:val="232"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A201310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hAnsi="Verdana"/>
                <w:sz w:val="16"/>
              </w:rPr>
            </w:pPr>
            <w:r>
              <w:rPr>
                <w:rFonts w:ascii="Verdana" w:hAnsi="Verdana"/>
                <w:sz w:val="16"/>
              </w:rPr>
              <w:t>OBAVLJANJE REDOVNE DJELATNOSTI GRADSKE KNJIŽNICE I ČITAONICE</w:t>
            </w:r>
          </w:p>
          <w:p>
            <w:pPr>
              <w:pStyle w:val="TableParagraph"/>
              <w:spacing w:before="45"/>
              <w:ind w:left="78"/>
              <w:jc w:val="left"/>
              <w:rPr>
                <w:sz w:val="14"/>
              </w:rPr>
            </w:pPr>
            <w:r>
              <w:rPr>
                <w:sz w:val="14"/>
              </w:rPr>
              <w:t>Funkcija: 0820 Službe kulture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316.000,00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5"/>
              <w:jc w:val="left"/>
              <w:rPr>
                <w:rFonts w:ascii="Verdana"/>
                <w:sz w:val="16"/>
              </w:rPr>
            </w:pPr>
            <w:r>
              <w:rPr>
                <w:rFonts w:ascii="Verdana"/>
                <w:sz w:val="16"/>
              </w:rPr>
              <w:t>316.000,00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2"/>
              <w:jc w:val="left"/>
              <w:rPr>
                <w:rFonts w:ascii="Verdana"/>
                <w:sz w:val="16"/>
              </w:rPr>
            </w:pPr>
            <w:r>
              <w:rPr>
                <w:rFonts w:ascii="Verdana"/>
                <w:sz w:val="16"/>
              </w:rPr>
              <w:t>176.026,86</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7"/>
              <w:jc w:val="left"/>
              <w:rPr>
                <w:rFonts w:ascii="Verdana"/>
                <w:sz w:val="16"/>
              </w:rPr>
            </w:pPr>
            <w:r>
              <w:rPr>
                <w:rFonts w:ascii="Verdana"/>
                <w:sz w:val="16"/>
              </w:rPr>
              <w:t>55,70%</w:t>
            </w:r>
          </w:p>
        </w:tc>
      </w:tr>
      <w:tr>
        <w:trPr>
          <w:trHeight w:val="179"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2"/>
              <w:ind w:left="27"/>
              <w:jc w:val="left"/>
              <w:rPr>
                <w:sz w:val="14"/>
              </w:rPr>
            </w:pPr>
            <w:r>
              <w:rPr>
                <w:sz w:val="14"/>
              </w:rPr>
              <w:t>Izv.</w:t>
            </w:r>
          </w:p>
        </w:tc>
        <w:tc>
          <w:tcPr>
            <w:tcW w:w="112" w:type="dxa"/>
            <w:tcBorders>
              <w:top w:val="single" w:sz="12" w:space="0" w:color="000000"/>
              <w:left w:val="single" w:sz="12" w:space="0" w:color="000000"/>
              <w:bottom w:val="single" w:sz="12" w:space="0" w:color="000000"/>
              <w:right w:val="single" w:sz="8" w:space="0" w:color="000000"/>
            </w:tcBorders>
            <w:shd w:val="clear" w:color="auto" w:fill="C0C0C0"/>
          </w:tcPr>
          <w:p>
            <w:pPr>
              <w:pStyle w:val="TableParagraph"/>
              <w:spacing w:line="160" w:lineRule="exact" w:before="0"/>
              <w:ind w:left="8"/>
              <w:jc w:val="left"/>
              <w:rPr>
                <w:sz w:val="14"/>
              </w:rPr>
            </w:pPr>
            <w:r>
              <w:rPr>
                <w:w w:val="100"/>
                <w:sz w:val="14"/>
              </w:rPr>
              <w:t>1</w:t>
            </w: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2"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6" w:type="dxa"/>
            <w:tcBorders>
              <w:top w:val="single" w:sz="12"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12"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12"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7"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311</w:t>
            </w:r>
          </w:p>
        </w:tc>
        <w:tc>
          <w:tcPr>
            <w:tcW w:w="402"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6"/>
              <w:jc w:val="left"/>
              <w:rPr>
                <w:sz w:val="16"/>
              </w:rPr>
            </w:pPr>
            <w:r>
              <w:rPr>
                <w:sz w:val="16"/>
              </w:rPr>
              <w:t>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4"/>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8"/>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0"/>
              <w:rPr>
                <w:sz w:val="16"/>
              </w:rPr>
            </w:pPr>
            <w:r>
              <w:rPr>
                <w:sz w:val="16"/>
              </w:rPr>
              <w:t>79.834,32</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4"/>
              <w:rPr>
                <w:sz w:val="16"/>
              </w:rPr>
            </w:pPr>
            <w:r>
              <w:rPr>
                <w:sz w:val="16"/>
              </w:rPr>
              <w:t>57,02%</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3111</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Plaće za redovan rad</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79.834,32</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57,02%</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312</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760,00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26,21%</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3121</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760,00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26,21%</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313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Doprinosi na 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21.500,00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21.500,00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13.041,34</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60,66%</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3132</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Doprinosi za zdravstveno osiguranje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11.684,16</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61,50%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3133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Doprinosi za zapošljavanje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1.357,18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54,29%</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321</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Naknade troškova zaposlenima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91,00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1,65%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3211</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Službena putovanja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91,00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3,03%</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3213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Stručno usavršavanje zaposlenika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322</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13.070,74</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42,16%</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3221</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Uredski materijal i ostali materijalni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8.654,48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66,57%</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Energija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3.862,96</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42,92%</w:t>
            </w:r>
          </w:p>
        </w:tc>
      </w:tr>
      <w:tr>
        <w:trPr>
          <w:trHeight w:val="280" w:hRule="atLeast"/>
        </w:trPr>
        <w:tc>
          <w:tcPr>
            <w:tcW w:w="737" w:type="dxa"/>
            <w:gridSpan w:val="5"/>
            <w:tcBorders>
              <w:top w:val="single" w:sz="8" w:space="0" w:color="000000"/>
              <w:left w:val="nil"/>
              <w:bottom w:val="nil"/>
              <w:right w:val="single" w:sz="2" w:space="0" w:color="000000"/>
            </w:tcBorders>
          </w:tcPr>
          <w:p>
            <w:pPr>
              <w:pStyle w:val="TableParagraph"/>
              <w:ind w:left="368"/>
              <w:jc w:val="left"/>
              <w:rPr>
                <w:sz w:val="16"/>
              </w:rPr>
            </w:pPr>
            <w:r>
              <w:rPr>
                <w:sz w:val="16"/>
              </w:rPr>
              <w:t>3224</w:t>
            </w:r>
          </w:p>
        </w:tc>
        <w:tc>
          <w:tcPr>
            <w:tcW w:w="402" w:type="dxa"/>
            <w:gridSpan w:val="3"/>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6"/>
              <w:jc w:val="left"/>
              <w:rPr>
                <w:sz w:val="16"/>
              </w:rPr>
            </w:pPr>
            <w:r>
              <w:rPr>
                <w:sz w:val="16"/>
              </w:rPr>
              <w:t>Mat. i dijelovi za tekuće i investicijsko održavanje</w:t>
            </w:r>
          </w:p>
        </w:tc>
        <w:tc>
          <w:tcPr>
            <w:tcW w:w="1833" w:type="dxa"/>
            <w:tcBorders>
              <w:top w:val="single" w:sz="8" w:space="0" w:color="000000"/>
              <w:left w:val="single" w:sz="2" w:space="0" w:color="000000"/>
              <w:bottom w:val="nil"/>
              <w:right w:val="single" w:sz="2" w:space="0" w:color="000000"/>
            </w:tcBorders>
          </w:tcPr>
          <w:p>
            <w:pPr>
              <w:pStyle w:val="TableParagraph"/>
              <w:ind w:right="56"/>
              <w:rPr>
                <w:sz w:val="16"/>
              </w:rPr>
            </w:pPr>
            <w:r>
              <w:rPr>
                <w:sz w:val="16"/>
              </w:rPr>
              <w:t>5.000,00</w:t>
            </w:r>
          </w:p>
        </w:tc>
        <w:tc>
          <w:tcPr>
            <w:tcW w:w="1831" w:type="dxa"/>
            <w:tcBorders>
              <w:top w:val="single" w:sz="8" w:space="0" w:color="000000"/>
              <w:left w:val="single" w:sz="2" w:space="0" w:color="000000"/>
              <w:bottom w:val="nil"/>
              <w:right w:val="single" w:sz="2" w:space="0" w:color="000000"/>
            </w:tcBorders>
          </w:tcPr>
          <w:p>
            <w:pPr>
              <w:pStyle w:val="TableParagraph"/>
              <w:ind w:right="58"/>
              <w:rPr>
                <w:sz w:val="16"/>
              </w:rPr>
            </w:pPr>
            <w:r>
              <w:rPr>
                <w:sz w:val="16"/>
              </w:rPr>
              <w:t>5.000,00</w:t>
            </w:r>
          </w:p>
        </w:tc>
        <w:tc>
          <w:tcPr>
            <w:tcW w:w="1831" w:type="dxa"/>
            <w:tcBorders>
              <w:top w:val="single" w:sz="8" w:space="0" w:color="000000"/>
              <w:left w:val="single" w:sz="2" w:space="0" w:color="000000"/>
              <w:bottom w:val="nil"/>
              <w:right w:val="single" w:sz="2" w:space="0" w:color="000000"/>
            </w:tcBorders>
          </w:tcPr>
          <w:p>
            <w:pPr>
              <w:pStyle w:val="TableParagraph"/>
              <w:ind w:right="63"/>
              <w:rPr>
                <w:sz w:val="16"/>
              </w:rPr>
            </w:pPr>
            <w:r>
              <w:rPr>
                <w:sz w:val="16"/>
              </w:rPr>
              <w:t>363,30</w:t>
            </w:r>
          </w:p>
        </w:tc>
        <w:tc>
          <w:tcPr>
            <w:tcW w:w="1105" w:type="dxa"/>
            <w:tcBorders>
              <w:top w:val="single" w:sz="8" w:space="0" w:color="000000"/>
              <w:left w:val="single" w:sz="2" w:space="0" w:color="000000"/>
              <w:bottom w:val="nil"/>
              <w:right w:val="nil"/>
            </w:tcBorders>
          </w:tcPr>
          <w:p>
            <w:pPr>
              <w:pStyle w:val="TableParagraph"/>
              <w:ind w:right="54"/>
              <w:rPr>
                <w:sz w:val="16"/>
              </w:rPr>
            </w:pPr>
            <w:r>
              <w:rPr>
                <w:sz w:val="16"/>
              </w:rPr>
              <w:t>7,27%</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2"/>
        <w:gridCol w:w="115"/>
        <w:gridCol w:w="112"/>
        <w:gridCol w:w="174"/>
        <w:gridCol w:w="7778"/>
        <w:gridCol w:w="1833"/>
        <w:gridCol w:w="1831"/>
        <w:gridCol w:w="1831"/>
        <w:gridCol w:w="1105"/>
      </w:tblGrid>
      <w:tr>
        <w:trPr>
          <w:trHeight w:val="828" w:hRule="atLeast"/>
        </w:trPr>
        <w:tc>
          <w:tcPr>
            <w:tcW w:w="15516" w:type="dxa"/>
            <w:gridSpan w:val="13"/>
            <w:tcBorders>
              <w:left w:val="nil"/>
              <w:bottom w:val="single" w:sz="8" w:space="0" w:color="000000"/>
              <w:right w:val="nil"/>
            </w:tcBorders>
            <w:shd w:val="clear" w:color="auto" w:fill="C0C0C0"/>
          </w:tcPr>
          <w:p>
            <w:pPr>
              <w:pStyle w:val="TableParagraph"/>
              <w:spacing w:before="56"/>
              <w:ind w:left="1437" w:right="1456"/>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37" w:right="1417"/>
              <w:jc w:val="center"/>
              <w:rPr>
                <w:rFonts w:ascii="Times New Roman"/>
                <w:sz w:val="22"/>
              </w:rPr>
            </w:pPr>
            <w:r>
              <w:rPr>
                <w:rFonts w:ascii="Times New Roman"/>
                <w:sz w:val="22"/>
              </w:rPr>
              <w:t>POSEBNI DIO- PROGRAMSKA KLASIFIKACIJA</w:t>
            </w:r>
          </w:p>
        </w:tc>
      </w:tr>
      <w:tr>
        <w:trPr>
          <w:trHeight w:val="846" w:hRule="atLeast"/>
        </w:trPr>
        <w:tc>
          <w:tcPr>
            <w:tcW w:w="1138"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9" w:hanging="5"/>
              <w:jc w:val="center"/>
              <w:rPr>
                <w:sz w:val="20"/>
              </w:rPr>
            </w:pPr>
            <w:r>
              <w:rPr>
                <w:sz w:val="20"/>
              </w:rPr>
              <w:t>Račun/ </w:t>
            </w:r>
            <w:r>
              <w:rPr>
                <w:w w:val="95"/>
                <w:sz w:val="20"/>
              </w:rPr>
              <w:t>Pozicija</w:t>
            </w:r>
          </w:p>
          <w:p>
            <w:pPr>
              <w:pStyle w:val="TableParagraph"/>
              <w:spacing w:before="84"/>
              <w:ind w:left="170"/>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71"/>
              <w:jc w:val="center"/>
              <w:rPr>
                <w:sz w:val="20"/>
              </w:rPr>
            </w:pPr>
            <w:r>
              <w:rPr>
                <w:sz w:val="20"/>
              </w:rPr>
              <w:t>Opis</w:t>
            </w:r>
          </w:p>
          <w:p>
            <w:pPr>
              <w:pStyle w:val="TableParagraph"/>
              <w:spacing w:before="4"/>
              <w:jc w:val="left"/>
              <w:rPr>
                <w:rFonts w:ascii="Times New Roman"/>
                <w:sz w:val="28"/>
              </w:rPr>
            </w:pPr>
          </w:p>
          <w:p>
            <w:pPr>
              <w:pStyle w:val="TableParagraph"/>
              <w:spacing w:before="0"/>
              <w:ind w:left="2"/>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8" w:right="138"/>
              <w:jc w:val="center"/>
              <w:rPr>
                <w:sz w:val="20"/>
              </w:rPr>
            </w:pPr>
            <w:r>
              <w:rPr>
                <w:sz w:val="20"/>
              </w:rPr>
              <w:t>Izvorni plan za 2014. godinu</w:t>
            </w:r>
          </w:p>
          <w:p>
            <w:pPr>
              <w:pStyle w:val="TableParagraph"/>
              <w:spacing w:before="89"/>
              <w:ind w:left="34"/>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2" w:right="131"/>
              <w:jc w:val="center"/>
              <w:rPr>
                <w:sz w:val="20"/>
              </w:rPr>
            </w:pPr>
            <w:r>
              <w:rPr>
                <w:sz w:val="20"/>
              </w:rPr>
              <w:t>Tekući plan za 2014. godinu</w:t>
            </w:r>
          </w:p>
          <w:p>
            <w:pPr>
              <w:pStyle w:val="TableParagraph"/>
              <w:spacing w:before="89"/>
              <w:ind w:left="23"/>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31"/>
              <w:jc w:val="center"/>
              <w:rPr>
                <w:sz w:val="20"/>
              </w:rPr>
            </w:pPr>
            <w:r>
              <w:rPr>
                <w:sz w:val="20"/>
              </w:rPr>
              <w:t>Izvršenje 01.01.-</w:t>
            </w:r>
          </w:p>
          <w:p>
            <w:pPr>
              <w:pStyle w:val="TableParagraph"/>
              <w:spacing w:line="241" w:lineRule="exact" w:before="0"/>
              <w:ind w:left="147" w:right="128"/>
              <w:jc w:val="center"/>
              <w:rPr>
                <w:sz w:val="20"/>
              </w:rPr>
            </w:pPr>
            <w:r>
              <w:rPr>
                <w:sz w:val="20"/>
              </w:rPr>
              <w:t>30.06.2014.</w:t>
            </w:r>
          </w:p>
          <w:p>
            <w:pPr>
              <w:pStyle w:val="TableParagraph"/>
              <w:spacing w:before="90"/>
              <w:ind w:left="18"/>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32"/>
              <w:jc w:val="center"/>
              <w:rPr>
                <w:sz w:val="20"/>
              </w:rPr>
            </w:pPr>
            <w:r>
              <w:rPr>
                <w:w w:val="95"/>
                <w:sz w:val="20"/>
              </w:rPr>
              <w:t>Indeks </w:t>
            </w:r>
            <w:r>
              <w:rPr>
                <w:sz w:val="20"/>
              </w:rPr>
              <w:t>5/4</w:t>
            </w:r>
          </w:p>
          <w:p>
            <w:pPr>
              <w:pStyle w:val="TableParagraph"/>
              <w:spacing w:before="89"/>
              <w:ind w:left="32"/>
              <w:jc w:val="center"/>
              <w:rPr>
                <w:sz w:val="18"/>
              </w:rPr>
            </w:pPr>
            <w:r>
              <w:rPr>
                <w:w w:val="100"/>
                <w:sz w:val="18"/>
              </w:rPr>
              <w:t>6</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3225</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Sitni inventar i auto gume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190,00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4,75%</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98.000,00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60.404,56</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61,64%</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Usluge telefona, pošte i prijevoza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3.909,27</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55,85%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5.250,00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75,00%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4.111,00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34,26%</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3237</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56.500,00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43.698,04</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77,34%</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3238</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Računalne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3.436,25</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42,95%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3239</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Naknade toškova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2.474,52</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35,35%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3241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Naknade troškova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2.474,52</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35,35%</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329</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10.100,00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10.100,00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6.350,38</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62,88%</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Premije osiguranja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3.200,00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3.200,00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3.101,34</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96,92%</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Reprezentacija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1.192,22</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59,61%</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3299</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2.056,82</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41,98%</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2"/>
                <w:sz w:val="16"/>
              </w:rPr>
              <w:t> </w:t>
            </w:r>
            <w:r>
              <w:rPr>
                <w:rFonts w:ascii="Verdana"/>
                <w:sz w:val="16"/>
              </w:rPr>
              <w:t>K201311</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0"/>
              <w:jc w:val="left"/>
              <w:rPr>
                <w:rFonts w:ascii="Verdana" w:hAnsi="Verdana"/>
                <w:sz w:val="16"/>
              </w:rPr>
            </w:pPr>
            <w:r>
              <w:rPr>
                <w:rFonts w:ascii="Verdana" w:hAnsi="Verdana"/>
                <w:w w:val="105"/>
                <w:sz w:val="16"/>
              </w:rPr>
              <w:t>OPREMANJE KNJIŽNICE I ČITAONICE</w:t>
            </w:r>
          </w:p>
          <w:p>
            <w:pPr>
              <w:pStyle w:val="TableParagraph"/>
              <w:spacing w:before="45"/>
              <w:ind w:left="79"/>
              <w:jc w:val="left"/>
              <w:rPr>
                <w:sz w:val="14"/>
              </w:rPr>
            </w:pPr>
            <w:r>
              <w:rPr>
                <w:sz w:val="14"/>
              </w:rPr>
              <w:t>Funkcija: 0820 Službe kulture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60"/>
              <w:jc w:val="left"/>
              <w:rPr>
                <w:rFonts w:ascii="Verdana"/>
                <w:sz w:val="16"/>
              </w:rPr>
            </w:pPr>
            <w:r>
              <w:rPr>
                <w:rFonts w:ascii="Verdana"/>
                <w:sz w:val="16"/>
              </w:rPr>
              <w:t>189.000,00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6"/>
              <w:jc w:val="left"/>
              <w:rPr>
                <w:rFonts w:ascii="Verdana"/>
                <w:sz w:val="16"/>
              </w:rPr>
            </w:pPr>
            <w:r>
              <w:rPr>
                <w:rFonts w:ascii="Verdana"/>
                <w:sz w:val="16"/>
              </w:rPr>
              <w:t>189.000,00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2"/>
              <w:jc w:val="left"/>
              <w:rPr>
                <w:rFonts w:ascii="Verdana"/>
                <w:sz w:val="16"/>
              </w:rPr>
            </w:pPr>
            <w:r>
              <w:rPr>
                <w:rFonts w:ascii="Verdana"/>
                <w:sz w:val="16"/>
              </w:rPr>
              <w:t>53.843,52</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8"/>
              <w:jc w:val="left"/>
              <w:rPr>
                <w:rFonts w:ascii="Verdana"/>
                <w:sz w:val="16"/>
              </w:rPr>
            </w:pPr>
            <w:r>
              <w:rPr>
                <w:rFonts w:ascii="Verdana"/>
                <w:sz w:val="16"/>
              </w:rPr>
              <w:t>28,49%</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ind w:left="11"/>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8"/>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ind w:left="13"/>
              <w:jc w:val="center"/>
              <w:rPr>
                <w:sz w:val="14"/>
              </w:rPr>
            </w:pPr>
            <w:r>
              <w:rPr>
                <w:w w:val="100"/>
                <w:sz w:val="14"/>
              </w:rPr>
              <w:t>2</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rPr>
                <w:sz w:val="14"/>
              </w:rPr>
            </w:pPr>
            <w:r>
              <w:rPr>
                <w:w w:val="100"/>
                <w:sz w:val="14"/>
              </w:rPr>
              <w:t>4</w:t>
            </w:r>
          </w:p>
        </w:tc>
        <w:tc>
          <w:tcPr>
            <w:tcW w:w="115"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422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4227</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Uređaji, strojevi i oprema za ostale namjene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424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Knjige, umjetnička djela i ostale izložbene vrijednosti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44.998,52</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100,00%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4241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Knjige u knjižnicama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44.998,52</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100,00%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426</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8.845,00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26,01%</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4264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Ostala 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8.845,00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26,01%</w:t>
            </w:r>
          </w:p>
        </w:tc>
      </w:tr>
      <w:tr>
        <w:trPr>
          <w:trHeight w:val="505" w:hRule="atLeast"/>
        </w:trPr>
        <w:tc>
          <w:tcPr>
            <w:tcW w:w="1138" w:type="dxa"/>
            <w:gridSpan w:val="8"/>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jc w:val="left"/>
              <w:rPr>
                <w:rFonts w:ascii="Verdana"/>
                <w:sz w:val="16"/>
              </w:rPr>
            </w:pPr>
            <w:r>
              <w:rPr>
                <w:rFonts w:ascii="Verdana"/>
                <w:sz w:val="16"/>
              </w:rPr>
              <w:t>00204</w:t>
            </w:r>
          </w:p>
        </w:tc>
        <w:tc>
          <w:tcPr>
            <w:tcW w:w="7778"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9"/>
              <w:jc w:val="left"/>
              <w:rPr>
                <w:rFonts w:ascii="Verdana" w:hAnsi="Verdana"/>
                <w:sz w:val="20"/>
              </w:rPr>
            </w:pPr>
            <w:r>
              <w:rPr>
                <w:rFonts w:ascii="Verdana" w:hAnsi="Verdana"/>
                <w:sz w:val="20"/>
              </w:rPr>
              <w:t>PRORAČUNSKI KORISNIK: 42686- ZAVIČAJNI MUZEJ OZALJ</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0"/>
              <w:rPr>
                <w:rFonts w:ascii="Verdana"/>
                <w:sz w:val="20"/>
              </w:rPr>
            </w:pPr>
            <w:r>
              <w:rPr>
                <w:rFonts w:ascii="Verdana"/>
                <w:sz w:val="20"/>
              </w:rPr>
              <w:t>855.000,00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2"/>
              <w:rPr>
                <w:rFonts w:ascii="Verdana"/>
                <w:sz w:val="20"/>
              </w:rPr>
            </w:pPr>
            <w:r>
              <w:rPr>
                <w:rFonts w:ascii="Verdana"/>
                <w:sz w:val="20"/>
              </w:rPr>
              <w:t>855.000,00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6"/>
              <w:rPr>
                <w:rFonts w:ascii="Verdana"/>
                <w:sz w:val="20"/>
              </w:rPr>
            </w:pPr>
            <w:r>
              <w:rPr>
                <w:rFonts w:ascii="Verdana"/>
                <w:sz w:val="20"/>
              </w:rPr>
              <w:t>204.577,12</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0"/>
              <w:rPr>
                <w:rFonts w:ascii="Verdana"/>
                <w:sz w:val="20"/>
              </w:rPr>
            </w:pPr>
            <w:r>
              <w:rPr>
                <w:rFonts w:ascii="Verdana"/>
                <w:sz w:val="20"/>
              </w:rPr>
              <w:t>23,93%</w:t>
            </w:r>
          </w:p>
        </w:tc>
      </w:tr>
      <w:tr>
        <w:trPr>
          <w:trHeight w:val="503" w:hRule="atLeast"/>
        </w:trPr>
        <w:tc>
          <w:tcPr>
            <w:tcW w:w="1138"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2014</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9"/>
              <w:jc w:val="left"/>
              <w:rPr>
                <w:rFonts w:ascii="Verdana" w:hAnsi="Verdana"/>
                <w:sz w:val="20"/>
              </w:rPr>
            </w:pPr>
            <w:r>
              <w:rPr>
                <w:rFonts w:ascii="Verdana" w:hAnsi="Verdana"/>
                <w:sz w:val="20"/>
              </w:rPr>
              <w:t>POSLOVANJE ZAVIČAJNOG MUZEJA OZALJ</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0"/>
              <w:rPr>
                <w:rFonts w:ascii="Verdana"/>
                <w:sz w:val="20"/>
              </w:rPr>
            </w:pPr>
            <w:r>
              <w:rPr>
                <w:rFonts w:ascii="Verdana"/>
                <w:sz w:val="20"/>
              </w:rPr>
              <w:t>855.000,00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2"/>
              <w:rPr>
                <w:rFonts w:ascii="Verdana"/>
                <w:sz w:val="20"/>
              </w:rPr>
            </w:pPr>
            <w:r>
              <w:rPr>
                <w:rFonts w:ascii="Verdana"/>
                <w:sz w:val="20"/>
              </w:rPr>
              <w:t>855.000,00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6"/>
              <w:rPr>
                <w:rFonts w:ascii="Verdana"/>
                <w:sz w:val="20"/>
              </w:rPr>
            </w:pPr>
            <w:r>
              <w:rPr>
                <w:rFonts w:ascii="Verdana"/>
                <w:sz w:val="20"/>
              </w:rPr>
              <w:t>204.577,12</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0"/>
              <w:rPr>
                <w:rFonts w:ascii="Verdana"/>
                <w:sz w:val="20"/>
              </w:rPr>
            </w:pPr>
            <w:r>
              <w:rPr>
                <w:rFonts w:ascii="Verdana"/>
                <w:sz w:val="20"/>
              </w:rPr>
              <w:t>23,93%</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9"/>
                <w:sz w:val="16"/>
              </w:rPr>
              <w:t> </w:t>
            </w:r>
            <w:r>
              <w:rPr>
                <w:rFonts w:ascii="Verdana"/>
                <w:spacing w:val="-3"/>
                <w:sz w:val="16"/>
              </w:rPr>
              <w:t>A201410</w:t>
            </w:r>
          </w:p>
        </w:tc>
        <w:tc>
          <w:tcPr>
            <w:tcW w:w="7778"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79"/>
              <w:jc w:val="left"/>
              <w:rPr>
                <w:rFonts w:ascii="Verdana" w:hAnsi="Verdana"/>
                <w:sz w:val="16"/>
              </w:rPr>
            </w:pPr>
            <w:r>
              <w:rPr>
                <w:rFonts w:ascii="Verdana" w:hAnsi="Verdana"/>
                <w:sz w:val="16"/>
              </w:rPr>
              <w:t>OBAVLJANJE REDOVNE DJELATNOSTI ZAVIČAJNOG MUZEJA</w:t>
            </w:r>
          </w:p>
          <w:p>
            <w:pPr>
              <w:pStyle w:val="TableParagraph"/>
              <w:spacing w:before="45"/>
              <w:ind w:left="79"/>
              <w:jc w:val="left"/>
              <w:rPr>
                <w:sz w:val="14"/>
              </w:rPr>
            </w:pPr>
            <w:r>
              <w:rPr>
                <w:sz w:val="14"/>
              </w:rPr>
              <w:t>Funkcija: 0820 Službe kulture</w:t>
            </w:r>
          </w:p>
        </w:tc>
        <w:tc>
          <w:tcPr>
            <w:tcW w:w="1833"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860"/>
              <w:jc w:val="left"/>
              <w:rPr>
                <w:rFonts w:ascii="Verdana"/>
                <w:sz w:val="16"/>
              </w:rPr>
            </w:pPr>
            <w:r>
              <w:rPr>
                <w:rFonts w:ascii="Verdana"/>
                <w:sz w:val="16"/>
              </w:rPr>
              <w:t>485.000,00</w:t>
            </w:r>
          </w:p>
        </w:tc>
        <w:tc>
          <w:tcPr>
            <w:tcW w:w="1831"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856"/>
              <w:jc w:val="left"/>
              <w:rPr>
                <w:rFonts w:ascii="Verdana"/>
                <w:sz w:val="16"/>
              </w:rPr>
            </w:pPr>
            <w:r>
              <w:rPr>
                <w:rFonts w:ascii="Verdana"/>
                <w:sz w:val="16"/>
              </w:rPr>
              <w:t>485.000,00</w:t>
            </w:r>
          </w:p>
        </w:tc>
        <w:tc>
          <w:tcPr>
            <w:tcW w:w="1831"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853"/>
              <w:jc w:val="left"/>
              <w:rPr>
                <w:rFonts w:ascii="Verdana"/>
                <w:sz w:val="16"/>
              </w:rPr>
            </w:pPr>
            <w:r>
              <w:rPr>
                <w:rFonts w:ascii="Verdana"/>
                <w:sz w:val="16"/>
              </w:rPr>
              <w:t>133.491,49</w:t>
            </w:r>
          </w:p>
        </w:tc>
        <w:tc>
          <w:tcPr>
            <w:tcW w:w="1105" w:type="dxa"/>
            <w:vMerge w:val="restart"/>
            <w:tcBorders>
              <w:top w:val="single" w:sz="8" w:space="0" w:color="000000"/>
              <w:left w:val="single" w:sz="2" w:space="0" w:color="000000"/>
              <w:bottom w:val="nil"/>
              <w:right w:val="nil"/>
            </w:tcBorders>
            <w:shd w:val="clear" w:color="auto" w:fill="C0C0C0"/>
          </w:tcPr>
          <w:p>
            <w:pPr>
              <w:pStyle w:val="TableParagraph"/>
              <w:spacing w:before="9"/>
              <w:ind w:left="398"/>
              <w:jc w:val="left"/>
              <w:rPr>
                <w:rFonts w:ascii="Verdana"/>
                <w:sz w:val="16"/>
              </w:rPr>
            </w:pPr>
            <w:r>
              <w:rPr>
                <w:rFonts w:ascii="Verdana"/>
                <w:sz w:val="16"/>
              </w:rPr>
              <w:t>27,52%</w:t>
            </w:r>
          </w:p>
        </w:tc>
      </w:tr>
      <w:tr>
        <w:trPr>
          <w:trHeight w:val="188" w:hRule="atLeast"/>
        </w:trPr>
        <w:tc>
          <w:tcPr>
            <w:tcW w:w="287" w:type="dxa"/>
            <w:tcBorders>
              <w:top w:val="nil"/>
              <w:left w:val="nil"/>
              <w:bottom w:val="nil"/>
              <w:right w:val="single" w:sz="12" w:space="0" w:color="000000"/>
            </w:tcBorders>
            <w:shd w:val="clear" w:color="auto" w:fill="C0C0C0"/>
          </w:tcPr>
          <w:p>
            <w:pPr>
              <w:pStyle w:val="TableParagraph"/>
              <w:spacing w:line="160" w:lineRule="exact" w:before="8"/>
              <w:ind w:left="11"/>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8"/>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ind w:left="13"/>
              <w:jc w:val="center"/>
              <w:rPr>
                <w:sz w:val="14"/>
              </w:rPr>
            </w:pPr>
            <w:r>
              <w:rPr>
                <w:w w:val="100"/>
                <w:sz w:val="14"/>
              </w:rPr>
              <w:t>2</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rPr>
                <w:sz w:val="14"/>
              </w:rPr>
            </w:pPr>
            <w:r>
              <w:rPr>
                <w:w w:val="100"/>
                <w:sz w:val="14"/>
              </w:rPr>
              <w:t>4</w:t>
            </w:r>
          </w:p>
        </w:tc>
        <w:tc>
          <w:tcPr>
            <w:tcW w:w="115"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nil"/>
              <w:right w:val="single" w:sz="2" w:space="0" w:color="000000"/>
            </w:tcBorders>
            <w:shd w:val="clear" w:color="auto" w:fill="C0C0C0"/>
          </w:tcPr>
          <w:p>
            <w:pPr>
              <w:rPr>
                <w:sz w:val="2"/>
                <w:szCs w:val="2"/>
              </w:rPr>
            </w:pPr>
          </w:p>
        </w:tc>
        <w:tc>
          <w:tcPr>
            <w:tcW w:w="1833" w:type="dxa"/>
            <w:vMerge/>
            <w:tcBorders>
              <w:top w:val="nil"/>
              <w:left w:val="single" w:sz="2" w:space="0" w:color="000000"/>
              <w:bottom w:val="nil"/>
              <w:right w:val="single" w:sz="2" w:space="0" w:color="000000"/>
            </w:tcBorders>
            <w:shd w:val="clear" w:color="auto" w:fill="C0C0C0"/>
          </w:tcPr>
          <w:p>
            <w:pPr>
              <w:rPr>
                <w:sz w:val="2"/>
                <w:szCs w:val="2"/>
              </w:rPr>
            </w:pPr>
          </w:p>
        </w:tc>
        <w:tc>
          <w:tcPr>
            <w:tcW w:w="1831" w:type="dxa"/>
            <w:vMerge/>
            <w:tcBorders>
              <w:top w:val="nil"/>
              <w:left w:val="single" w:sz="2" w:space="0" w:color="000000"/>
              <w:bottom w:val="nil"/>
              <w:right w:val="single" w:sz="2" w:space="0" w:color="000000"/>
            </w:tcBorders>
            <w:shd w:val="clear" w:color="auto" w:fill="C0C0C0"/>
          </w:tcPr>
          <w:p>
            <w:pPr>
              <w:rPr>
                <w:sz w:val="2"/>
                <w:szCs w:val="2"/>
              </w:rPr>
            </w:pPr>
          </w:p>
        </w:tc>
        <w:tc>
          <w:tcPr>
            <w:tcW w:w="1831" w:type="dxa"/>
            <w:vMerge/>
            <w:tcBorders>
              <w:top w:val="nil"/>
              <w:left w:val="single" w:sz="2" w:space="0" w:color="000000"/>
              <w:bottom w:val="nil"/>
              <w:right w:val="single" w:sz="2" w:space="0" w:color="000000"/>
            </w:tcBorders>
            <w:shd w:val="clear" w:color="auto" w:fill="C0C0C0"/>
          </w:tcPr>
          <w:p>
            <w:pPr>
              <w:rPr>
                <w:sz w:val="2"/>
                <w:szCs w:val="2"/>
              </w:rPr>
            </w:pPr>
          </w:p>
        </w:tc>
        <w:tc>
          <w:tcPr>
            <w:tcW w:w="1105" w:type="dxa"/>
            <w:vMerge/>
            <w:tcBorders>
              <w:top w:val="nil"/>
              <w:left w:val="single" w:sz="2" w:space="0" w:color="000000"/>
              <w:bottom w:val="nil"/>
              <w:right w:val="nil"/>
            </w:tcBorders>
            <w:shd w:val="clear" w:color="auto" w:fill="C0C0C0"/>
          </w:tcPr>
          <w:p>
            <w:pPr>
              <w:rPr>
                <w:sz w:val="2"/>
                <w:szCs w:val="2"/>
              </w:rPr>
            </w:pPr>
          </w:p>
        </w:tc>
      </w:tr>
    </w:tbl>
    <w:p>
      <w:pPr>
        <w:spacing w:after="0"/>
        <w:rPr>
          <w:sz w:val="2"/>
          <w:szCs w:val="2"/>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34"/>
        <w:gridCol w:w="402"/>
        <w:gridCol w:w="7778"/>
        <w:gridCol w:w="1833"/>
        <w:gridCol w:w="1831"/>
        <w:gridCol w:w="1831"/>
        <w:gridCol w:w="1103"/>
      </w:tblGrid>
      <w:tr>
        <w:trPr>
          <w:trHeight w:val="828" w:hRule="atLeast"/>
        </w:trPr>
        <w:tc>
          <w:tcPr>
            <w:tcW w:w="15512" w:type="dxa"/>
            <w:gridSpan w:val="7"/>
            <w:tcBorders>
              <w:left w:val="nil"/>
              <w:bottom w:val="single" w:sz="8" w:space="0" w:color="000000"/>
              <w:right w:val="nil"/>
            </w:tcBorders>
            <w:shd w:val="clear" w:color="auto" w:fill="C0C0C0"/>
          </w:tcPr>
          <w:p>
            <w:pPr>
              <w:pStyle w:val="TableParagraph"/>
              <w:spacing w:before="56"/>
              <w:ind w:left="1443" w:right="1458"/>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419"/>
              <w:jc w:val="center"/>
              <w:rPr>
                <w:rFonts w:ascii="Times New Roman"/>
                <w:sz w:val="22"/>
              </w:rPr>
            </w:pPr>
            <w:r>
              <w:rPr>
                <w:rFonts w:ascii="Times New Roman"/>
                <w:sz w:val="22"/>
              </w:rPr>
              <w:t>POSEBNI DIO- PROGRAMSKA KLASIFIKACIJA</w:t>
            </w:r>
          </w:p>
        </w:tc>
      </w:tr>
      <w:tr>
        <w:trPr>
          <w:trHeight w:val="846" w:hRule="atLeast"/>
        </w:trPr>
        <w:tc>
          <w:tcPr>
            <w:tcW w:w="1136" w:type="dxa"/>
            <w:gridSpan w:val="2"/>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7" w:hanging="5"/>
              <w:jc w:val="center"/>
              <w:rPr>
                <w:sz w:val="20"/>
              </w:rPr>
            </w:pPr>
            <w:r>
              <w:rPr>
                <w:sz w:val="20"/>
              </w:rPr>
              <w:t>Račun/ </w:t>
            </w:r>
            <w:r>
              <w:rPr>
                <w:w w:val="95"/>
                <w:sz w:val="20"/>
              </w:rPr>
              <w:t>Pozicija</w:t>
            </w:r>
          </w:p>
          <w:p>
            <w:pPr>
              <w:pStyle w:val="TableParagraph"/>
              <w:spacing w:before="84"/>
              <w:ind w:left="172"/>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66"/>
              <w:jc w:val="center"/>
              <w:rPr>
                <w:sz w:val="20"/>
              </w:rPr>
            </w:pPr>
            <w:r>
              <w:rPr>
                <w:sz w:val="20"/>
              </w:rPr>
              <w:t>Opis</w:t>
            </w:r>
          </w:p>
          <w:p>
            <w:pPr>
              <w:pStyle w:val="TableParagraph"/>
              <w:spacing w:before="4"/>
              <w:jc w:val="left"/>
              <w:rPr>
                <w:rFonts w:ascii="Times New Roman"/>
                <w:sz w:val="28"/>
              </w:rPr>
            </w:pPr>
          </w:p>
          <w:p>
            <w:pPr>
              <w:pStyle w:val="TableParagraph"/>
              <w:spacing w:before="0"/>
              <w:ind w:left="6"/>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12" w:right="138"/>
              <w:jc w:val="center"/>
              <w:rPr>
                <w:sz w:val="20"/>
              </w:rPr>
            </w:pPr>
            <w:r>
              <w:rPr>
                <w:sz w:val="20"/>
              </w:rPr>
              <w:t>Izvorni plan za 2014. godinu</w:t>
            </w:r>
          </w:p>
          <w:p>
            <w:pPr>
              <w:pStyle w:val="TableParagraph"/>
              <w:spacing w:before="89"/>
              <w:ind w:left="38"/>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1"/>
              <w:jc w:val="center"/>
              <w:rPr>
                <w:sz w:val="20"/>
              </w:rPr>
            </w:pPr>
            <w:r>
              <w:rPr>
                <w:sz w:val="20"/>
              </w:rPr>
              <w:t>Tekući plan za 2014. godinu</w:t>
            </w:r>
          </w:p>
          <w:p>
            <w:pPr>
              <w:pStyle w:val="TableParagraph"/>
              <w:spacing w:before="89"/>
              <w:ind w:left="27"/>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27"/>
              <w:jc w:val="center"/>
              <w:rPr>
                <w:sz w:val="20"/>
              </w:rPr>
            </w:pPr>
            <w:r>
              <w:rPr>
                <w:sz w:val="20"/>
              </w:rPr>
              <w:t>Izvršenje 01.01.-</w:t>
            </w:r>
          </w:p>
          <w:p>
            <w:pPr>
              <w:pStyle w:val="TableParagraph"/>
              <w:spacing w:line="241" w:lineRule="exact" w:before="0"/>
              <w:ind w:left="147" w:right="124"/>
              <w:jc w:val="center"/>
              <w:rPr>
                <w:sz w:val="20"/>
              </w:rPr>
            </w:pPr>
            <w:r>
              <w:rPr>
                <w:sz w:val="20"/>
              </w:rPr>
              <w:t>30.06.2014.</w:t>
            </w:r>
          </w:p>
          <w:p>
            <w:pPr>
              <w:pStyle w:val="TableParagraph"/>
              <w:spacing w:before="90"/>
              <w:ind w:left="22"/>
              <w:jc w:val="center"/>
              <w:rPr>
                <w:sz w:val="18"/>
              </w:rPr>
            </w:pPr>
            <w:r>
              <w:rPr>
                <w:w w:val="100"/>
                <w:sz w:val="18"/>
              </w:rPr>
              <w:t>5</w:t>
            </w:r>
          </w:p>
        </w:tc>
        <w:tc>
          <w:tcPr>
            <w:tcW w:w="1103"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72" w:right="237"/>
              <w:jc w:val="center"/>
              <w:rPr>
                <w:sz w:val="20"/>
              </w:rPr>
            </w:pPr>
            <w:r>
              <w:rPr>
                <w:w w:val="95"/>
                <w:sz w:val="20"/>
              </w:rPr>
              <w:t>Indeks </w:t>
            </w:r>
            <w:r>
              <w:rPr>
                <w:sz w:val="20"/>
              </w:rPr>
              <w:t>5/4</w:t>
            </w:r>
          </w:p>
          <w:p>
            <w:pPr>
              <w:pStyle w:val="TableParagraph"/>
              <w:spacing w:before="89"/>
              <w:ind w:left="38"/>
              <w:jc w:val="center"/>
              <w:rPr>
                <w:sz w:val="18"/>
              </w:rPr>
            </w:pPr>
            <w:r>
              <w:rPr>
                <w:w w:val="100"/>
                <w:sz w:val="18"/>
              </w:rPr>
              <w:t>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174.000,00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174.000,00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60.592,77</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34,82%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Plaće za redovan rad</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174.000,00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174.000,00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60.592,77</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34,82%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9.800,00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9.800,00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3.760,00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38,37%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9.800,00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9.800,00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3.760,00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38,37%</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na 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9.554,93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36,06%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zdravstveno osiguranje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23.500,00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23.500,00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8.524,87</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36,28%</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3133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Doprinosi za zapošljavanje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1.030,06</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34,34%</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zaposlenima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7.958,00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28,42%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Službena putovanja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935,00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31,17%</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za prijevoz, za rad na terenu i odvojeni život</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7.023,00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31,92%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3213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Stručno usavršavanje zaposlenika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0,00%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16.055,54</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28,93%</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Uredski materijal i ostali materijalni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9.500,00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4.351,37</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45,80%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Materijal i sirovine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2.955,00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36,94%</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Energija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7.563,48</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29,09%</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Mat. i dijelovi za tekuće i investicijsko održavanje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1.065,69</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15,22%</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3225</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Sitni inventar i auto gume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120,00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2,40%</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1"/>
              <w:rPr>
                <w:sz w:val="16"/>
              </w:rPr>
            </w:pPr>
            <w:r>
              <w:rPr>
                <w:sz w:val="16"/>
              </w:rPr>
              <w:t>169.500,00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169.500,00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28.198,38</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16,64%</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telefona, pošte i prijevoza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6.900,00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3.015,03</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43,70%</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3232</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12.322,25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60,11%</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7.500,00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2.029,25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27,06%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3237</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66.100,00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66.100,00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8.831,85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13,36%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3239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68.500,00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68.500,00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2.000,00</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2,92%</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11.700,00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11.700,00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5.330,42</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45,56%</w:t>
            </w:r>
          </w:p>
        </w:tc>
      </w:tr>
      <w:tr>
        <w:trPr>
          <w:trHeight w:val="265"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3241</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Naknade troškova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11.700,00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11.700,00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5.330,42</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45,56%</w:t>
            </w:r>
          </w:p>
        </w:tc>
      </w:tr>
      <w:tr>
        <w:trPr>
          <w:trHeight w:val="267" w:hRule="atLeast"/>
        </w:trPr>
        <w:tc>
          <w:tcPr>
            <w:tcW w:w="734" w:type="dxa"/>
            <w:tcBorders>
              <w:top w:val="single" w:sz="8" w:space="0" w:color="000000"/>
              <w:left w:val="nil"/>
              <w:bottom w:val="single" w:sz="8" w:space="0" w:color="000000"/>
              <w:right w:val="single" w:sz="2" w:space="0" w:color="000000"/>
            </w:tcBorders>
          </w:tcPr>
          <w:p>
            <w:pPr>
              <w:pStyle w:val="TableParagraph"/>
              <w:ind w:right="5"/>
              <w:rPr>
                <w:sz w:val="16"/>
              </w:rPr>
            </w:pPr>
            <w:r>
              <w:rPr>
                <w:sz w:val="16"/>
              </w:rPr>
              <w:t>329</w:t>
            </w:r>
          </w:p>
        </w:tc>
        <w:tc>
          <w:tcPr>
            <w:tcW w:w="402" w:type="dxa"/>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9"/>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2.041,45</w:t>
            </w:r>
          </w:p>
        </w:tc>
        <w:tc>
          <w:tcPr>
            <w:tcW w:w="1103" w:type="dxa"/>
            <w:tcBorders>
              <w:top w:val="single" w:sz="8" w:space="0" w:color="000000"/>
              <w:left w:val="single" w:sz="2" w:space="0" w:color="000000"/>
              <w:bottom w:val="single" w:sz="8" w:space="0" w:color="000000"/>
              <w:right w:val="nil"/>
            </w:tcBorders>
          </w:tcPr>
          <w:p>
            <w:pPr>
              <w:pStyle w:val="TableParagraph"/>
              <w:ind w:right="49"/>
              <w:rPr>
                <w:sz w:val="16"/>
              </w:rPr>
            </w:pPr>
            <w:r>
              <w:rPr>
                <w:sz w:val="16"/>
              </w:rPr>
              <w:t>20,41%</w:t>
            </w:r>
          </w:p>
        </w:tc>
      </w:tr>
      <w:tr>
        <w:trPr>
          <w:trHeight w:val="282" w:hRule="atLeast"/>
        </w:trPr>
        <w:tc>
          <w:tcPr>
            <w:tcW w:w="734" w:type="dxa"/>
            <w:tcBorders>
              <w:top w:val="single" w:sz="8" w:space="0" w:color="000000"/>
              <w:left w:val="nil"/>
              <w:bottom w:val="nil"/>
              <w:right w:val="single" w:sz="2" w:space="0" w:color="000000"/>
            </w:tcBorders>
          </w:tcPr>
          <w:p>
            <w:pPr>
              <w:pStyle w:val="TableParagraph"/>
              <w:ind w:right="5"/>
              <w:rPr>
                <w:sz w:val="16"/>
              </w:rPr>
            </w:pPr>
            <w:r>
              <w:rPr>
                <w:sz w:val="16"/>
              </w:rPr>
              <w:t>3292</w:t>
            </w:r>
          </w:p>
        </w:tc>
        <w:tc>
          <w:tcPr>
            <w:tcW w:w="402" w:type="dxa"/>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9"/>
              <w:jc w:val="left"/>
              <w:rPr>
                <w:sz w:val="16"/>
              </w:rPr>
            </w:pPr>
            <w:r>
              <w:rPr>
                <w:sz w:val="16"/>
              </w:rPr>
              <w:t>Premije osiguranja</w:t>
            </w:r>
          </w:p>
        </w:tc>
        <w:tc>
          <w:tcPr>
            <w:tcW w:w="1833" w:type="dxa"/>
            <w:tcBorders>
              <w:top w:val="single" w:sz="8" w:space="0" w:color="000000"/>
              <w:left w:val="single" w:sz="2" w:space="0" w:color="000000"/>
              <w:bottom w:val="nil"/>
              <w:right w:val="single" w:sz="2" w:space="0" w:color="000000"/>
            </w:tcBorders>
          </w:tcPr>
          <w:p>
            <w:pPr>
              <w:pStyle w:val="TableParagraph"/>
              <w:ind w:right="53"/>
              <w:rPr>
                <w:sz w:val="16"/>
              </w:rPr>
            </w:pPr>
            <w:r>
              <w:rPr>
                <w:sz w:val="16"/>
              </w:rPr>
              <w:t>8.000,00</w:t>
            </w:r>
          </w:p>
        </w:tc>
        <w:tc>
          <w:tcPr>
            <w:tcW w:w="1831" w:type="dxa"/>
            <w:tcBorders>
              <w:top w:val="single" w:sz="8" w:space="0" w:color="000000"/>
              <w:left w:val="single" w:sz="2" w:space="0" w:color="000000"/>
              <w:bottom w:val="nil"/>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nil"/>
              <w:right w:val="single" w:sz="2" w:space="0" w:color="000000"/>
            </w:tcBorders>
          </w:tcPr>
          <w:p>
            <w:pPr>
              <w:pStyle w:val="TableParagraph"/>
              <w:ind w:right="62"/>
              <w:rPr>
                <w:sz w:val="16"/>
              </w:rPr>
            </w:pPr>
            <w:r>
              <w:rPr>
                <w:sz w:val="16"/>
              </w:rPr>
              <w:t>0,00</w:t>
            </w:r>
          </w:p>
        </w:tc>
        <w:tc>
          <w:tcPr>
            <w:tcW w:w="1103" w:type="dxa"/>
            <w:tcBorders>
              <w:top w:val="single" w:sz="8" w:space="0" w:color="000000"/>
              <w:left w:val="single" w:sz="2" w:space="0" w:color="000000"/>
              <w:bottom w:val="nil"/>
              <w:right w:val="nil"/>
            </w:tcBorders>
          </w:tcPr>
          <w:p>
            <w:pPr>
              <w:pStyle w:val="TableParagraph"/>
              <w:ind w:right="49"/>
              <w:rPr>
                <w:sz w:val="16"/>
              </w:rPr>
            </w:pPr>
            <w:r>
              <w:rPr>
                <w:sz w:val="16"/>
              </w:rPr>
              <w:t>0,00%</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2"/>
        <w:gridCol w:w="115"/>
        <w:gridCol w:w="112"/>
        <w:gridCol w:w="174"/>
        <w:gridCol w:w="7778"/>
        <w:gridCol w:w="1833"/>
        <w:gridCol w:w="1831"/>
        <w:gridCol w:w="1831"/>
        <w:gridCol w:w="1105"/>
      </w:tblGrid>
      <w:tr>
        <w:trPr>
          <w:trHeight w:val="828" w:hRule="atLeast"/>
        </w:trPr>
        <w:tc>
          <w:tcPr>
            <w:tcW w:w="15516" w:type="dxa"/>
            <w:gridSpan w:val="13"/>
            <w:tcBorders>
              <w:left w:val="nil"/>
              <w:bottom w:val="single" w:sz="8" w:space="0" w:color="000000"/>
              <w:right w:val="nil"/>
            </w:tcBorders>
            <w:shd w:val="clear" w:color="auto" w:fill="C0C0C0"/>
          </w:tcPr>
          <w:p>
            <w:pPr>
              <w:pStyle w:val="TableParagraph"/>
              <w:spacing w:before="56"/>
              <w:ind w:left="1437" w:right="1456"/>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37" w:right="1417"/>
              <w:jc w:val="center"/>
              <w:rPr>
                <w:rFonts w:ascii="Times New Roman"/>
                <w:sz w:val="22"/>
              </w:rPr>
            </w:pPr>
            <w:r>
              <w:rPr>
                <w:rFonts w:ascii="Times New Roman"/>
                <w:sz w:val="22"/>
              </w:rPr>
              <w:t>POSEBNI DIO- PROGRAMSKA KLASIFIKACIJA</w:t>
            </w:r>
          </w:p>
        </w:tc>
      </w:tr>
      <w:tr>
        <w:trPr>
          <w:trHeight w:val="846" w:hRule="atLeast"/>
        </w:trPr>
        <w:tc>
          <w:tcPr>
            <w:tcW w:w="1138"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9" w:hanging="5"/>
              <w:jc w:val="center"/>
              <w:rPr>
                <w:sz w:val="20"/>
              </w:rPr>
            </w:pPr>
            <w:r>
              <w:rPr>
                <w:sz w:val="20"/>
              </w:rPr>
              <w:t>Račun/ </w:t>
            </w:r>
            <w:r>
              <w:rPr>
                <w:w w:val="95"/>
                <w:sz w:val="20"/>
              </w:rPr>
              <w:t>Pozicija</w:t>
            </w:r>
          </w:p>
          <w:p>
            <w:pPr>
              <w:pStyle w:val="TableParagraph"/>
              <w:spacing w:before="84"/>
              <w:ind w:left="170"/>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71"/>
              <w:jc w:val="center"/>
              <w:rPr>
                <w:sz w:val="20"/>
              </w:rPr>
            </w:pPr>
            <w:r>
              <w:rPr>
                <w:sz w:val="20"/>
              </w:rPr>
              <w:t>Opis</w:t>
            </w:r>
          </w:p>
          <w:p>
            <w:pPr>
              <w:pStyle w:val="TableParagraph"/>
              <w:spacing w:before="4"/>
              <w:jc w:val="left"/>
              <w:rPr>
                <w:rFonts w:ascii="Times New Roman"/>
                <w:sz w:val="28"/>
              </w:rPr>
            </w:pPr>
          </w:p>
          <w:p>
            <w:pPr>
              <w:pStyle w:val="TableParagraph"/>
              <w:spacing w:before="0"/>
              <w:ind w:left="2"/>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8" w:right="138"/>
              <w:jc w:val="center"/>
              <w:rPr>
                <w:sz w:val="20"/>
              </w:rPr>
            </w:pPr>
            <w:r>
              <w:rPr>
                <w:sz w:val="20"/>
              </w:rPr>
              <w:t>Izvorni plan za 2014. godinu</w:t>
            </w:r>
          </w:p>
          <w:p>
            <w:pPr>
              <w:pStyle w:val="TableParagraph"/>
              <w:spacing w:before="89"/>
              <w:ind w:left="34"/>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2" w:right="131"/>
              <w:jc w:val="center"/>
              <w:rPr>
                <w:sz w:val="20"/>
              </w:rPr>
            </w:pPr>
            <w:r>
              <w:rPr>
                <w:sz w:val="20"/>
              </w:rPr>
              <w:t>Tekući plan za 2014. godinu</w:t>
            </w:r>
          </w:p>
          <w:p>
            <w:pPr>
              <w:pStyle w:val="TableParagraph"/>
              <w:spacing w:before="89"/>
              <w:ind w:left="23"/>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31"/>
              <w:jc w:val="center"/>
              <w:rPr>
                <w:sz w:val="20"/>
              </w:rPr>
            </w:pPr>
            <w:r>
              <w:rPr>
                <w:sz w:val="20"/>
              </w:rPr>
              <w:t>Izvršenje 01.01.-</w:t>
            </w:r>
          </w:p>
          <w:p>
            <w:pPr>
              <w:pStyle w:val="TableParagraph"/>
              <w:spacing w:line="241" w:lineRule="exact" w:before="0"/>
              <w:ind w:left="147" w:right="128"/>
              <w:jc w:val="center"/>
              <w:rPr>
                <w:sz w:val="20"/>
              </w:rPr>
            </w:pPr>
            <w:r>
              <w:rPr>
                <w:sz w:val="20"/>
              </w:rPr>
              <w:t>30.06.2014.</w:t>
            </w:r>
          </w:p>
          <w:p>
            <w:pPr>
              <w:pStyle w:val="TableParagraph"/>
              <w:spacing w:before="90"/>
              <w:ind w:left="18"/>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32"/>
              <w:jc w:val="center"/>
              <w:rPr>
                <w:sz w:val="20"/>
              </w:rPr>
            </w:pPr>
            <w:r>
              <w:rPr>
                <w:w w:val="95"/>
                <w:sz w:val="20"/>
              </w:rPr>
              <w:t>Indeks </w:t>
            </w:r>
            <w:r>
              <w:rPr>
                <w:sz w:val="20"/>
              </w:rPr>
              <w:t>5/4</w:t>
            </w:r>
          </w:p>
          <w:p>
            <w:pPr>
              <w:pStyle w:val="TableParagraph"/>
              <w:spacing w:before="89"/>
              <w:ind w:left="32"/>
              <w:jc w:val="center"/>
              <w:rPr>
                <w:sz w:val="18"/>
              </w:rPr>
            </w:pPr>
            <w:r>
              <w:rPr>
                <w:w w:val="100"/>
                <w:sz w:val="18"/>
              </w:rPr>
              <w:t>6</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Reprezentacija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2.041,45</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68,05%</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2"/>
                <w:sz w:val="16"/>
              </w:rPr>
              <w:t> </w:t>
            </w:r>
            <w:r>
              <w:rPr>
                <w:rFonts w:ascii="Verdana"/>
                <w:sz w:val="16"/>
              </w:rPr>
              <w:t>K201411</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0"/>
              <w:jc w:val="left"/>
              <w:rPr>
                <w:rFonts w:ascii="Verdana" w:hAnsi="Verdana"/>
                <w:sz w:val="16"/>
              </w:rPr>
            </w:pPr>
            <w:r>
              <w:rPr>
                <w:rFonts w:ascii="Verdana" w:hAnsi="Verdana"/>
                <w:sz w:val="16"/>
              </w:rPr>
              <w:t>PROVOĐENJE PROJEKATA ZAVIČAJNOG MUZEJA OZALJ</w:t>
            </w:r>
          </w:p>
          <w:p>
            <w:pPr>
              <w:pStyle w:val="TableParagraph"/>
              <w:spacing w:before="45"/>
              <w:ind w:left="79"/>
              <w:jc w:val="left"/>
              <w:rPr>
                <w:sz w:val="14"/>
              </w:rPr>
            </w:pPr>
            <w:r>
              <w:rPr>
                <w:sz w:val="14"/>
              </w:rPr>
              <w:t>Funkcija: 0820 Službe kulture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60"/>
              <w:jc w:val="left"/>
              <w:rPr>
                <w:rFonts w:ascii="Verdana"/>
                <w:sz w:val="16"/>
              </w:rPr>
            </w:pPr>
            <w:r>
              <w:rPr>
                <w:rFonts w:ascii="Verdana"/>
                <w:sz w:val="16"/>
              </w:rPr>
              <w:t>370.000,00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6"/>
              <w:jc w:val="left"/>
              <w:rPr>
                <w:rFonts w:ascii="Verdana"/>
                <w:sz w:val="16"/>
              </w:rPr>
            </w:pPr>
            <w:r>
              <w:rPr>
                <w:rFonts w:ascii="Verdana"/>
                <w:sz w:val="16"/>
              </w:rPr>
              <w:t>370.000,00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2"/>
              <w:jc w:val="left"/>
              <w:rPr>
                <w:rFonts w:ascii="Verdana"/>
                <w:sz w:val="16"/>
              </w:rPr>
            </w:pPr>
            <w:r>
              <w:rPr>
                <w:rFonts w:ascii="Verdana"/>
                <w:sz w:val="16"/>
              </w:rPr>
              <w:t>71.085,63</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8"/>
              <w:jc w:val="left"/>
              <w:rPr>
                <w:rFonts w:ascii="Verdana"/>
                <w:sz w:val="16"/>
              </w:rPr>
            </w:pPr>
            <w:r>
              <w:rPr>
                <w:rFonts w:ascii="Verdana"/>
                <w:sz w:val="16"/>
              </w:rPr>
              <w:t>19,21%</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ind w:left="13"/>
              <w:jc w:val="center"/>
              <w:rPr>
                <w:sz w:val="14"/>
              </w:rPr>
            </w:pPr>
            <w:r>
              <w:rPr>
                <w:w w:val="100"/>
                <w:sz w:val="14"/>
              </w:rPr>
              <w:t>2</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rPr>
                <w:sz w:val="14"/>
              </w:rPr>
            </w:pPr>
            <w:r>
              <w:rPr>
                <w:w w:val="100"/>
                <w:sz w:val="14"/>
              </w:rPr>
              <w:t>4</w:t>
            </w:r>
          </w:p>
        </w:tc>
        <w:tc>
          <w:tcPr>
            <w:tcW w:w="115"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7"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421</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7"/>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3"/>
              <w:rPr>
                <w:sz w:val="16"/>
              </w:rPr>
            </w:pPr>
            <w:r>
              <w:rPr>
                <w:sz w:val="16"/>
              </w:rPr>
              <w:t>176.500,00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7"/>
              <w:rPr>
                <w:sz w:val="16"/>
              </w:rPr>
            </w:pPr>
            <w:r>
              <w:rPr>
                <w:sz w:val="16"/>
              </w:rPr>
              <w:t>176.500,00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9"/>
              <w:rPr>
                <w:sz w:val="16"/>
              </w:rPr>
            </w:pPr>
            <w:r>
              <w:rPr>
                <w:sz w:val="16"/>
              </w:rPr>
              <w:t>61.085,63</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3"/>
              <w:rPr>
                <w:sz w:val="16"/>
              </w:rPr>
            </w:pPr>
            <w:r>
              <w:rPr>
                <w:sz w:val="16"/>
              </w:rPr>
              <w:t>34,61%</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4212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Poslovni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91.000,00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61.085,63</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67,13%</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4214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85.500,00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85.500,00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422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95.000,00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10.000,00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10,53%</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4221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Uredska oprema i namještaj</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4223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Oprema za održavanje i zaštitu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0,00%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4227</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Uređaji, strojevi i oprema za ostale namjene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10.000,00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66,67%</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424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Knjige, umjetnička djela i ostale izložbene vrijednosti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98.500,00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98.500,00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4242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Umjetnička djela (izložena u galerijama, muzejima i slično)</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4243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Muzejski izlošci i predmeti prirodnih rijetkosti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43.500,00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43.500,00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0,00%</w:t>
            </w:r>
          </w:p>
        </w:tc>
      </w:tr>
      <w:tr>
        <w:trPr>
          <w:trHeight w:val="505" w:hRule="atLeast"/>
        </w:trPr>
        <w:tc>
          <w:tcPr>
            <w:tcW w:w="1138" w:type="dxa"/>
            <w:gridSpan w:val="8"/>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jc w:val="left"/>
              <w:rPr>
                <w:rFonts w:ascii="Verdana"/>
                <w:sz w:val="16"/>
              </w:rPr>
            </w:pPr>
            <w:r>
              <w:rPr>
                <w:rFonts w:ascii="Verdana"/>
                <w:sz w:val="16"/>
              </w:rPr>
              <w:t>00205</w:t>
            </w:r>
          </w:p>
        </w:tc>
        <w:tc>
          <w:tcPr>
            <w:tcW w:w="7778"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9"/>
              <w:jc w:val="left"/>
              <w:rPr>
                <w:rFonts w:ascii="Verdana" w:hAnsi="Verdana"/>
                <w:sz w:val="20"/>
              </w:rPr>
            </w:pPr>
            <w:r>
              <w:rPr>
                <w:rFonts w:ascii="Verdana" w:hAnsi="Verdana"/>
                <w:sz w:val="20"/>
              </w:rPr>
              <w:t>PRORAČUNSKI KORISNIK: 27484-DJEČJI VRTIĆ I JASLICE ZVONČIĆ</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2"/>
              <w:rPr>
                <w:rFonts w:ascii="Verdana"/>
                <w:sz w:val="20"/>
              </w:rPr>
            </w:pPr>
            <w:r>
              <w:rPr>
                <w:rFonts w:ascii="Verdana"/>
                <w:sz w:val="20"/>
              </w:rPr>
              <w:t>2.840.000,00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4"/>
              <w:rPr>
                <w:rFonts w:ascii="Verdana"/>
                <w:sz w:val="20"/>
              </w:rPr>
            </w:pPr>
            <w:r>
              <w:rPr>
                <w:rFonts w:ascii="Verdana"/>
                <w:sz w:val="20"/>
              </w:rPr>
              <w:t>2.840.000,00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8"/>
              <w:rPr>
                <w:rFonts w:ascii="Verdana"/>
                <w:sz w:val="20"/>
              </w:rPr>
            </w:pPr>
            <w:r>
              <w:rPr>
                <w:rFonts w:ascii="Verdana"/>
                <w:sz w:val="20"/>
              </w:rPr>
              <w:t>1.408.689,74</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0"/>
              <w:rPr>
                <w:rFonts w:ascii="Verdana"/>
                <w:sz w:val="20"/>
              </w:rPr>
            </w:pPr>
            <w:r>
              <w:rPr>
                <w:rFonts w:ascii="Verdana"/>
                <w:sz w:val="20"/>
              </w:rPr>
              <w:t>49,60%</w:t>
            </w:r>
          </w:p>
        </w:tc>
      </w:tr>
      <w:tr>
        <w:trPr>
          <w:trHeight w:val="503" w:hRule="atLeast"/>
        </w:trPr>
        <w:tc>
          <w:tcPr>
            <w:tcW w:w="1138"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2015</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9"/>
              <w:jc w:val="left"/>
              <w:rPr>
                <w:rFonts w:ascii="Verdana" w:hAnsi="Verdana"/>
                <w:sz w:val="20"/>
              </w:rPr>
            </w:pPr>
            <w:r>
              <w:rPr>
                <w:rFonts w:ascii="Verdana" w:hAnsi="Verdana"/>
                <w:sz w:val="20"/>
              </w:rPr>
              <w:t>FINANCIRANJE DJEČJEG VRTIĆA ZVONČIĆ</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2"/>
              <w:rPr>
                <w:rFonts w:ascii="Verdana"/>
                <w:sz w:val="20"/>
              </w:rPr>
            </w:pPr>
            <w:r>
              <w:rPr>
                <w:rFonts w:ascii="Verdana"/>
                <w:sz w:val="20"/>
              </w:rPr>
              <w:t>2.840.000,00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4"/>
              <w:rPr>
                <w:rFonts w:ascii="Verdana"/>
                <w:sz w:val="20"/>
              </w:rPr>
            </w:pPr>
            <w:r>
              <w:rPr>
                <w:rFonts w:ascii="Verdana"/>
                <w:sz w:val="20"/>
              </w:rPr>
              <w:t>2.840.000,00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8"/>
              <w:rPr>
                <w:rFonts w:ascii="Verdana"/>
                <w:sz w:val="20"/>
              </w:rPr>
            </w:pPr>
            <w:r>
              <w:rPr>
                <w:rFonts w:ascii="Verdana"/>
                <w:sz w:val="20"/>
              </w:rPr>
              <w:t>1.408.689,74</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0"/>
              <w:rPr>
                <w:rFonts w:ascii="Verdana"/>
                <w:sz w:val="20"/>
              </w:rPr>
            </w:pPr>
            <w:r>
              <w:rPr>
                <w:rFonts w:ascii="Verdana"/>
                <w:sz w:val="20"/>
              </w:rPr>
              <w:t>49,60%</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9"/>
                <w:sz w:val="16"/>
              </w:rPr>
              <w:t> </w:t>
            </w:r>
            <w:r>
              <w:rPr>
                <w:rFonts w:ascii="Verdana"/>
                <w:spacing w:val="-3"/>
                <w:sz w:val="16"/>
              </w:rPr>
              <w:t>A201510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hAnsi="Verdana"/>
                <w:sz w:val="16"/>
              </w:rPr>
            </w:pPr>
            <w:r>
              <w:rPr>
                <w:rFonts w:ascii="Verdana" w:hAnsi="Verdana"/>
                <w:sz w:val="16"/>
              </w:rPr>
              <w:t>OBAVLJANJE REDOVNE DJELATNOSTI DJEČJEG VRTIĆA</w:t>
            </w:r>
          </w:p>
          <w:p>
            <w:pPr>
              <w:pStyle w:val="TableParagraph"/>
              <w:spacing w:before="45"/>
              <w:ind w:left="79"/>
              <w:jc w:val="left"/>
              <w:rPr>
                <w:sz w:val="14"/>
              </w:rPr>
            </w:pPr>
            <w:r>
              <w:rPr>
                <w:sz w:val="14"/>
              </w:rPr>
              <w:t>Funkcija: 0911 Predškolsko obrazovanje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09"/>
              <w:jc w:val="left"/>
              <w:rPr>
                <w:rFonts w:ascii="Verdana"/>
                <w:sz w:val="16"/>
              </w:rPr>
            </w:pPr>
            <w:r>
              <w:rPr>
                <w:rFonts w:ascii="Verdana"/>
                <w:sz w:val="16"/>
              </w:rPr>
              <w:t>2.755.000,00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04"/>
              <w:jc w:val="left"/>
              <w:rPr>
                <w:rFonts w:ascii="Verdana"/>
                <w:sz w:val="16"/>
              </w:rPr>
            </w:pPr>
            <w:r>
              <w:rPr>
                <w:rFonts w:ascii="Verdana"/>
                <w:sz w:val="16"/>
              </w:rPr>
              <w:t>2.755.000,00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00"/>
              <w:jc w:val="left"/>
              <w:rPr>
                <w:rFonts w:ascii="Verdana"/>
                <w:sz w:val="16"/>
              </w:rPr>
            </w:pPr>
            <w:r>
              <w:rPr>
                <w:rFonts w:ascii="Verdana"/>
                <w:sz w:val="16"/>
              </w:rPr>
              <w:t>1.364.169,74</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8"/>
              <w:jc w:val="left"/>
              <w:rPr>
                <w:rFonts w:ascii="Verdana"/>
                <w:sz w:val="16"/>
              </w:rPr>
            </w:pPr>
            <w:r>
              <w:rPr>
                <w:rFonts w:ascii="Verdana"/>
                <w:sz w:val="16"/>
              </w:rPr>
              <w:t>49,52%</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ind w:left="13"/>
              <w:jc w:val="center"/>
              <w:rPr>
                <w:sz w:val="14"/>
              </w:rPr>
            </w:pPr>
            <w:r>
              <w:rPr>
                <w:w w:val="100"/>
                <w:sz w:val="14"/>
              </w:rPr>
              <w:t>2</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rPr>
                <w:sz w:val="14"/>
              </w:rPr>
            </w:pPr>
            <w:r>
              <w:rPr>
                <w:w w:val="100"/>
                <w:sz w:val="14"/>
              </w:rPr>
              <w:t>4</w:t>
            </w:r>
          </w:p>
        </w:tc>
        <w:tc>
          <w:tcPr>
            <w:tcW w:w="115"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7"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311</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7"/>
              <w:jc w:val="left"/>
              <w:rPr>
                <w:sz w:val="16"/>
              </w:rPr>
            </w:pPr>
            <w:r>
              <w:rPr>
                <w:sz w:val="16"/>
              </w:rPr>
              <w:t>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3"/>
              <w:rPr>
                <w:sz w:val="16"/>
              </w:rPr>
            </w:pPr>
            <w:r>
              <w:rPr>
                <w:sz w:val="16"/>
              </w:rPr>
              <w:t>1.573.000,00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7"/>
              <w:rPr>
                <w:sz w:val="16"/>
              </w:rPr>
            </w:pPr>
            <w:r>
              <w:rPr>
                <w:sz w:val="16"/>
              </w:rPr>
              <w:t>1.573.000,00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9"/>
              <w:rPr>
                <w:sz w:val="16"/>
              </w:rPr>
            </w:pPr>
            <w:r>
              <w:rPr>
                <w:sz w:val="16"/>
              </w:rPr>
              <w:t>770.304,57</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3"/>
              <w:rPr>
                <w:sz w:val="16"/>
              </w:rPr>
            </w:pPr>
            <w:r>
              <w:rPr>
                <w:sz w:val="16"/>
              </w:rPr>
              <w:t>48,97%</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3111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Plaće za redovan rad</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1.573.000,00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1.573.000,00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770.304,57</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48,97%</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312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14.435,15</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21,23%</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3121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14.435,15</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21,23%</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313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Doprinosi na 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124.663,83</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53,97%</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3132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Doprinosi za zdravstveno osiguranje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111.568,69</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54,69%</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3133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Doprinosi za zapošljavanje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13.095,14</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48,50%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Naknade troškova zaposlenima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130.000,00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79.091,00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60,84%</w:t>
            </w:r>
          </w:p>
        </w:tc>
      </w:tr>
      <w:tr>
        <w:trPr>
          <w:trHeight w:val="280" w:hRule="atLeast"/>
        </w:trPr>
        <w:tc>
          <w:tcPr>
            <w:tcW w:w="737" w:type="dxa"/>
            <w:gridSpan w:val="5"/>
            <w:tcBorders>
              <w:top w:val="single" w:sz="8" w:space="0" w:color="000000"/>
              <w:left w:val="nil"/>
              <w:bottom w:val="nil"/>
              <w:right w:val="single" w:sz="2" w:space="0" w:color="000000"/>
            </w:tcBorders>
          </w:tcPr>
          <w:p>
            <w:pPr>
              <w:pStyle w:val="TableParagraph"/>
              <w:ind w:left="368"/>
              <w:jc w:val="left"/>
              <w:rPr>
                <w:sz w:val="16"/>
              </w:rPr>
            </w:pPr>
            <w:r>
              <w:rPr>
                <w:sz w:val="16"/>
              </w:rPr>
              <w:t>3211</w:t>
            </w:r>
          </w:p>
        </w:tc>
        <w:tc>
          <w:tcPr>
            <w:tcW w:w="401" w:type="dxa"/>
            <w:gridSpan w:val="3"/>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7"/>
              <w:jc w:val="left"/>
              <w:rPr>
                <w:sz w:val="16"/>
              </w:rPr>
            </w:pPr>
            <w:r>
              <w:rPr>
                <w:sz w:val="16"/>
              </w:rPr>
              <w:t>Službena putovanja</w:t>
            </w:r>
          </w:p>
        </w:tc>
        <w:tc>
          <w:tcPr>
            <w:tcW w:w="1833" w:type="dxa"/>
            <w:tcBorders>
              <w:top w:val="single" w:sz="8" w:space="0" w:color="000000"/>
              <w:left w:val="single" w:sz="2" w:space="0" w:color="000000"/>
              <w:bottom w:val="nil"/>
              <w:right w:val="single" w:sz="2" w:space="0" w:color="000000"/>
            </w:tcBorders>
          </w:tcPr>
          <w:p>
            <w:pPr>
              <w:pStyle w:val="TableParagraph"/>
              <w:ind w:right="55"/>
              <w:rPr>
                <w:sz w:val="16"/>
              </w:rPr>
            </w:pPr>
            <w:r>
              <w:rPr>
                <w:sz w:val="16"/>
              </w:rPr>
              <w:t>7.000,00</w:t>
            </w:r>
          </w:p>
        </w:tc>
        <w:tc>
          <w:tcPr>
            <w:tcW w:w="1831" w:type="dxa"/>
            <w:tcBorders>
              <w:top w:val="single" w:sz="8" w:space="0" w:color="000000"/>
              <w:left w:val="single" w:sz="2" w:space="0" w:color="000000"/>
              <w:bottom w:val="nil"/>
              <w:right w:val="single" w:sz="2" w:space="0" w:color="000000"/>
            </w:tcBorders>
          </w:tcPr>
          <w:p>
            <w:pPr>
              <w:pStyle w:val="TableParagraph"/>
              <w:ind w:right="57"/>
              <w:rPr>
                <w:sz w:val="16"/>
              </w:rPr>
            </w:pPr>
            <w:r>
              <w:rPr>
                <w:sz w:val="16"/>
              </w:rPr>
              <w:t>7.000,00</w:t>
            </w:r>
          </w:p>
        </w:tc>
        <w:tc>
          <w:tcPr>
            <w:tcW w:w="1831" w:type="dxa"/>
            <w:tcBorders>
              <w:top w:val="single" w:sz="8" w:space="0" w:color="000000"/>
              <w:left w:val="single" w:sz="2" w:space="0" w:color="000000"/>
              <w:bottom w:val="nil"/>
              <w:right w:val="single" w:sz="2" w:space="0" w:color="000000"/>
            </w:tcBorders>
          </w:tcPr>
          <w:p>
            <w:pPr>
              <w:pStyle w:val="TableParagraph"/>
              <w:ind w:right="62"/>
              <w:rPr>
                <w:sz w:val="16"/>
              </w:rPr>
            </w:pPr>
            <w:r>
              <w:rPr>
                <w:sz w:val="16"/>
              </w:rPr>
              <w:t>2.048,00</w:t>
            </w:r>
          </w:p>
        </w:tc>
        <w:tc>
          <w:tcPr>
            <w:tcW w:w="1105" w:type="dxa"/>
            <w:tcBorders>
              <w:top w:val="single" w:sz="8" w:space="0" w:color="000000"/>
              <w:left w:val="single" w:sz="2" w:space="0" w:color="000000"/>
              <w:bottom w:val="nil"/>
              <w:right w:val="nil"/>
            </w:tcBorders>
          </w:tcPr>
          <w:p>
            <w:pPr>
              <w:pStyle w:val="TableParagraph"/>
              <w:ind w:right="53"/>
              <w:rPr>
                <w:sz w:val="16"/>
              </w:rPr>
            </w:pPr>
            <w:r>
              <w:rPr>
                <w:sz w:val="16"/>
              </w:rPr>
              <w:t>29,26%</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2"/>
        <w:gridCol w:w="116"/>
        <w:gridCol w:w="112"/>
        <w:gridCol w:w="174"/>
        <w:gridCol w:w="7778"/>
        <w:gridCol w:w="1833"/>
        <w:gridCol w:w="1831"/>
        <w:gridCol w:w="1831"/>
        <w:gridCol w:w="1105"/>
      </w:tblGrid>
      <w:tr>
        <w:trPr>
          <w:trHeight w:val="828" w:hRule="atLeast"/>
        </w:trPr>
        <w:tc>
          <w:tcPr>
            <w:tcW w:w="15517" w:type="dxa"/>
            <w:gridSpan w:val="13"/>
            <w:tcBorders>
              <w:left w:val="nil"/>
              <w:bottom w:val="single" w:sz="8" w:space="0" w:color="000000"/>
              <w:right w:val="nil"/>
            </w:tcBorders>
            <w:shd w:val="clear" w:color="auto" w:fill="C0C0C0"/>
          </w:tcPr>
          <w:p>
            <w:pPr>
              <w:pStyle w:val="TableParagraph"/>
              <w:spacing w:before="56"/>
              <w:ind w:left="1443" w:right="1463"/>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424"/>
              <w:jc w:val="center"/>
              <w:rPr>
                <w:rFonts w:ascii="Times New Roman"/>
                <w:sz w:val="22"/>
              </w:rPr>
            </w:pPr>
            <w:r>
              <w:rPr>
                <w:rFonts w:ascii="Times New Roman"/>
                <w:sz w:val="22"/>
              </w:rPr>
              <w:t>POSEBNI DIO- PROGRAMSKA KLASIFIKACIJA</w:t>
            </w:r>
          </w:p>
        </w:tc>
      </w:tr>
      <w:tr>
        <w:trPr>
          <w:trHeight w:val="846" w:hRule="atLeast"/>
        </w:trPr>
        <w:tc>
          <w:tcPr>
            <w:tcW w:w="1139"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30" w:hanging="5"/>
              <w:jc w:val="center"/>
              <w:rPr>
                <w:sz w:val="20"/>
              </w:rPr>
            </w:pPr>
            <w:r>
              <w:rPr>
                <w:sz w:val="20"/>
              </w:rPr>
              <w:t>Račun/ </w:t>
            </w:r>
            <w:r>
              <w:rPr>
                <w:w w:val="95"/>
                <w:sz w:val="20"/>
              </w:rPr>
              <w:t>Pozicija</w:t>
            </w:r>
          </w:p>
          <w:p>
            <w:pPr>
              <w:pStyle w:val="TableParagraph"/>
              <w:spacing w:before="84"/>
              <w:ind w:left="169"/>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72"/>
              <w:jc w:val="center"/>
              <w:rPr>
                <w:sz w:val="20"/>
              </w:rPr>
            </w:pPr>
            <w:r>
              <w:rPr>
                <w:sz w:val="20"/>
              </w:rPr>
              <w:t>Opis</w:t>
            </w:r>
          </w:p>
          <w:p>
            <w:pPr>
              <w:pStyle w:val="TableParagraph"/>
              <w:spacing w:before="4"/>
              <w:jc w:val="left"/>
              <w:rPr>
                <w:rFonts w:ascii="Times New Roman"/>
                <w:sz w:val="28"/>
              </w:rPr>
            </w:pPr>
          </w:p>
          <w:p>
            <w:pPr>
              <w:pStyle w:val="TableParagraph"/>
              <w:spacing w:before="0"/>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6" w:right="138"/>
              <w:jc w:val="center"/>
              <w:rPr>
                <w:sz w:val="20"/>
              </w:rPr>
            </w:pPr>
            <w:r>
              <w:rPr>
                <w:sz w:val="20"/>
              </w:rPr>
              <w:t>Izvorni plan za 2014. godinu</w:t>
            </w:r>
          </w:p>
          <w:p>
            <w:pPr>
              <w:pStyle w:val="TableParagraph"/>
              <w:spacing w:before="89"/>
              <w:ind w:left="32"/>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0" w:right="131"/>
              <w:jc w:val="center"/>
              <w:rPr>
                <w:sz w:val="20"/>
              </w:rPr>
            </w:pPr>
            <w:r>
              <w:rPr>
                <w:sz w:val="20"/>
              </w:rPr>
              <w:t>Tekući plan za 2014. godinu</w:t>
            </w:r>
          </w:p>
          <w:p>
            <w:pPr>
              <w:pStyle w:val="TableParagraph"/>
              <w:spacing w:before="89"/>
              <w:ind w:left="21"/>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5" w:right="131"/>
              <w:jc w:val="center"/>
              <w:rPr>
                <w:sz w:val="20"/>
              </w:rPr>
            </w:pPr>
            <w:r>
              <w:rPr>
                <w:sz w:val="20"/>
              </w:rPr>
              <w:t>Izvršenje 01.01.-</w:t>
            </w:r>
          </w:p>
          <w:p>
            <w:pPr>
              <w:pStyle w:val="TableParagraph"/>
              <w:spacing w:line="241" w:lineRule="exact" w:before="0"/>
              <w:ind w:left="147" w:right="130"/>
              <w:jc w:val="center"/>
              <w:rPr>
                <w:sz w:val="20"/>
              </w:rPr>
            </w:pPr>
            <w:r>
              <w:rPr>
                <w:sz w:val="20"/>
              </w:rPr>
              <w:t>30.06.2014.</w:t>
            </w:r>
          </w:p>
          <w:p>
            <w:pPr>
              <w:pStyle w:val="TableParagraph"/>
              <w:spacing w:before="90"/>
              <w:ind w:left="16"/>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34"/>
              <w:jc w:val="center"/>
              <w:rPr>
                <w:sz w:val="20"/>
              </w:rPr>
            </w:pPr>
            <w:r>
              <w:rPr>
                <w:w w:val="95"/>
                <w:sz w:val="20"/>
              </w:rPr>
              <w:t>Indeks </w:t>
            </w:r>
            <w:r>
              <w:rPr>
                <w:sz w:val="20"/>
              </w:rPr>
              <w:t>5/4</w:t>
            </w:r>
          </w:p>
          <w:p>
            <w:pPr>
              <w:pStyle w:val="TableParagraph"/>
              <w:spacing w:before="89"/>
              <w:ind w:left="30"/>
              <w:jc w:val="center"/>
              <w:rPr>
                <w:sz w:val="18"/>
              </w:rPr>
            </w:pPr>
            <w:r>
              <w:rPr>
                <w:w w:val="100"/>
                <w:sz w:val="18"/>
              </w:rPr>
              <w:t>6</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3212</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Naknade za prijevoz, za rad na terenu i odvojeni život</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75.043,00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65,25%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3213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Stručno usavršavanje zaposlenika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2.000,00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25,00%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322</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502.000,00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502.000,00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289.883,06</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57,75%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3221</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Uredski materijal i ostali materijalni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77.000,00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77.000,00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36.657,99</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47,61%</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3222</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Materijal i sirovine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290.000,00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290.000,00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178.169,89</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61,44%</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Energija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66.434,26</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53,15%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3225</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Sitni inventar i auto gume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1.371,22</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54,85%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3227</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Službena, radna i zaštitna odjeća i obuća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7.500,00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7.249,70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96,66%</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45.747,62</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26,91%</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3231</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Usluge telefona, pošte i prijevoza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2.708,34</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18,06%</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3232</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60.000,00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13.126,70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21,88%</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Usluge promidžbe i informiranja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3234</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31.000,00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11.723,70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37,82%</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3236</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Zdravstvene i veterinarske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4.442,63</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17,09%</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3237</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3238</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Računalne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3.436,25</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42,95%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3239</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10.310,00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49,10%</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324</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Naknade toškova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20.688,03</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76,62%</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3241</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Naknade troškova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20.688,03</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76,62%</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329</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53.000,00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53.000,00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19.356,48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36,52%</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3291</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Naknade za rad predstavničkih i izvršnih tijela, povjerenstava i slično</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3.159,62</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19,75%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3292</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Premije osiguranja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3.084,88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30,85%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Reprezentacija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675,00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33,75%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3299</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12.436,98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49,75%</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343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Ostali financijski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3433</w:t>
            </w:r>
          </w:p>
        </w:tc>
        <w:tc>
          <w:tcPr>
            <w:tcW w:w="402"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Zatezne kamate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2"/>
                <w:sz w:val="16"/>
              </w:rPr>
              <w:t> </w:t>
            </w:r>
            <w:r>
              <w:rPr>
                <w:rFonts w:ascii="Verdana"/>
                <w:sz w:val="16"/>
              </w:rPr>
              <w:t>K201511</w:t>
            </w:r>
          </w:p>
        </w:tc>
        <w:tc>
          <w:tcPr>
            <w:tcW w:w="7778"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79"/>
              <w:jc w:val="left"/>
              <w:rPr>
                <w:rFonts w:ascii="Verdana" w:hAnsi="Verdana"/>
                <w:sz w:val="16"/>
              </w:rPr>
            </w:pPr>
            <w:r>
              <w:rPr>
                <w:rFonts w:ascii="Verdana" w:hAnsi="Verdana"/>
                <w:sz w:val="16"/>
              </w:rPr>
              <w:t>OPREMANJE DJEČJEG VRTIĆA ZVONČIĆ</w:t>
            </w:r>
          </w:p>
          <w:p>
            <w:pPr>
              <w:pStyle w:val="TableParagraph"/>
              <w:spacing w:before="45"/>
              <w:ind w:left="78"/>
              <w:jc w:val="left"/>
              <w:rPr>
                <w:sz w:val="14"/>
              </w:rPr>
            </w:pPr>
            <w:r>
              <w:rPr>
                <w:sz w:val="14"/>
              </w:rPr>
              <w:t>Funkcija: 0911 Predškolsko obrazovanje</w:t>
            </w:r>
          </w:p>
        </w:tc>
        <w:tc>
          <w:tcPr>
            <w:tcW w:w="1833"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960"/>
              <w:jc w:val="left"/>
              <w:rPr>
                <w:rFonts w:ascii="Verdana"/>
                <w:sz w:val="16"/>
              </w:rPr>
            </w:pPr>
            <w:r>
              <w:rPr>
                <w:rFonts w:ascii="Verdana"/>
                <w:sz w:val="16"/>
              </w:rPr>
              <w:t>85.000,00</w:t>
            </w:r>
          </w:p>
        </w:tc>
        <w:tc>
          <w:tcPr>
            <w:tcW w:w="1831"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955"/>
              <w:jc w:val="left"/>
              <w:rPr>
                <w:rFonts w:ascii="Verdana"/>
                <w:sz w:val="16"/>
              </w:rPr>
            </w:pPr>
            <w:r>
              <w:rPr>
                <w:rFonts w:ascii="Verdana"/>
                <w:sz w:val="16"/>
              </w:rPr>
              <w:t>85.000,00</w:t>
            </w:r>
          </w:p>
        </w:tc>
        <w:tc>
          <w:tcPr>
            <w:tcW w:w="1831"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951"/>
              <w:jc w:val="left"/>
              <w:rPr>
                <w:rFonts w:ascii="Verdana"/>
                <w:sz w:val="16"/>
              </w:rPr>
            </w:pPr>
            <w:r>
              <w:rPr>
                <w:rFonts w:ascii="Verdana"/>
                <w:sz w:val="16"/>
              </w:rPr>
              <w:t>44.520,00</w:t>
            </w:r>
          </w:p>
        </w:tc>
        <w:tc>
          <w:tcPr>
            <w:tcW w:w="1105" w:type="dxa"/>
            <w:vMerge w:val="restart"/>
            <w:tcBorders>
              <w:top w:val="single" w:sz="8" w:space="0" w:color="000000"/>
              <w:left w:val="single" w:sz="2" w:space="0" w:color="000000"/>
              <w:bottom w:val="nil"/>
              <w:right w:val="nil"/>
            </w:tcBorders>
            <w:shd w:val="clear" w:color="auto" w:fill="C0C0C0"/>
          </w:tcPr>
          <w:p>
            <w:pPr>
              <w:pStyle w:val="TableParagraph"/>
              <w:spacing w:before="9"/>
              <w:ind w:left="397"/>
              <w:jc w:val="left"/>
              <w:rPr>
                <w:rFonts w:ascii="Verdana"/>
                <w:sz w:val="16"/>
              </w:rPr>
            </w:pPr>
            <w:r>
              <w:rPr>
                <w:rFonts w:ascii="Verdana"/>
                <w:sz w:val="16"/>
              </w:rPr>
              <w:t>52,38%</w:t>
            </w:r>
          </w:p>
        </w:tc>
      </w:tr>
      <w:tr>
        <w:trPr>
          <w:trHeight w:val="188" w:hRule="atLeast"/>
        </w:trPr>
        <w:tc>
          <w:tcPr>
            <w:tcW w:w="287" w:type="dxa"/>
            <w:tcBorders>
              <w:top w:val="nil"/>
              <w:left w:val="nil"/>
              <w:bottom w:val="nil"/>
              <w:right w:val="single" w:sz="12" w:space="0" w:color="000000"/>
            </w:tcBorders>
            <w:shd w:val="clear" w:color="auto" w:fill="C0C0C0"/>
          </w:tcPr>
          <w:p>
            <w:pPr>
              <w:pStyle w:val="TableParagraph"/>
              <w:spacing w:line="160" w:lineRule="exact" w:before="8"/>
              <w:ind w:left="27"/>
              <w:jc w:val="left"/>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ind w:left="14"/>
              <w:jc w:val="left"/>
              <w:rPr>
                <w:sz w:val="14"/>
              </w:rPr>
            </w:pPr>
            <w:r>
              <w:rPr>
                <w:w w:val="100"/>
                <w:sz w:val="14"/>
              </w:rPr>
              <w:t>2</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6"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line="168" w:lineRule="exact" w:before="0"/>
              <w:ind w:left="14" w:right="-15"/>
              <w:jc w:val="left"/>
              <w:rPr>
                <w:sz w:val="14"/>
              </w:rPr>
            </w:pPr>
            <w:r>
              <w:rPr>
                <w:w w:val="100"/>
                <w:sz w:val="14"/>
              </w:rPr>
              <w:t>5</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nil"/>
              <w:right w:val="single" w:sz="2" w:space="0" w:color="000000"/>
            </w:tcBorders>
            <w:shd w:val="clear" w:color="auto" w:fill="C0C0C0"/>
          </w:tcPr>
          <w:p>
            <w:pPr>
              <w:rPr>
                <w:sz w:val="2"/>
                <w:szCs w:val="2"/>
              </w:rPr>
            </w:pPr>
          </w:p>
        </w:tc>
        <w:tc>
          <w:tcPr>
            <w:tcW w:w="1833" w:type="dxa"/>
            <w:vMerge/>
            <w:tcBorders>
              <w:top w:val="nil"/>
              <w:left w:val="single" w:sz="2" w:space="0" w:color="000000"/>
              <w:bottom w:val="nil"/>
              <w:right w:val="single" w:sz="2" w:space="0" w:color="000000"/>
            </w:tcBorders>
            <w:shd w:val="clear" w:color="auto" w:fill="C0C0C0"/>
          </w:tcPr>
          <w:p>
            <w:pPr>
              <w:rPr>
                <w:sz w:val="2"/>
                <w:szCs w:val="2"/>
              </w:rPr>
            </w:pPr>
          </w:p>
        </w:tc>
        <w:tc>
          <w:tcPr>
            <w:tcW w:w="1831" w:type="dxa"/>
            <w:vMerge/>
            <w:tcBorders>
              <w:top w:val="nil"/>
              <w:left w:val="single" w:sz="2" w:space="0" w:color="000000"/>
              <w:bottom w:val="nil"/>
              <w:right w:val="single" w:sz="2" w:space="0" w:color="000000"/>
            </w:tcBorders>
            <w:shd w:val="clear" w:color="auto" w:fill="C0C0C0"/>
          </w:tcPr>
          <w:p>
            <w:pPr>
              <w:rPr>
                <w:sz w:val="2"/>
                <w:szCs w:val="2"/>
              </w:rPr>
            </w:pPr>
          </w:p>
        </w:tc>
        <w:tc>
          <w:tcPr>
            <w:tcW w:w="1831" w:type="dxa"/>
            <w:vMerge/>
            <w:tcBorders>
              <w:top w:val="nil"/>
              <w:left w:val="single" w:sz="2" w:space="0" w:color="000000"/>
              <w:bottom w:val="nil"/>
              <w:right w:val="single" w:sz="2" w:space="0" w:color="000000"/>
            </w:tcBorders>
            <w:shd w:val="clear" w:color="auto" w:fill="C0C0C0"/>
          </w:tcPr>
          <w:p>
            <w:pPr>
              <w:rPr>
                <w:sz w:val="2"/>
                <w:szCs w:val="2"/>
              </w:rPr>
            </w:pPr>
          </w:p>
        </w:tc>
        <w:tc>
          <w:tcPr>
            <w:tcW w:w="1105" w:type="dxa"/>
            <w:vMerge/>
            <w:tcBorders>
              <w:top w:val="nil"/>
              <w:left w:val="single" w:sz="2" w:space="0" w:color="000000"/>
              <w:bottom w:val="nil"/>
              <w:right w:val="nil"/>
            </w:tcBorders>
            <w:shd w:val="clear" w:color="auto" w:fill="C0C0C0"/>
          </w:tcPr>
          <w:p>
            <w:pPr>
              <w:rPr>
                <w:sz w:val="2"/>
                <w:szCs w:val="2"/>
              </w:rPr>
            </w:pPr>
          </w:p>
        </w:tc>
      </w:tr>
    </w:tbl>
    <w:p>
      <w:pPr>
        <w:spacing w:after="0"/>
        <w:rPr>
          <w:sz w:val="2"/>
          <w:szCs w:val="2"/>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3"/>
        <w:gridCol w:w="115"/>
        <w:gridCol w:w="112"/>
        <w:gridCol w:w="174"/>
        <w:gridCol w:w="7778"/>
        <w:gridCol w:w="1833"/>
        <w:gridCol w:w="1831"/>
        <w:gridCol w:w="1831"/>
        <w:gridCol w:w="1105"/>
      </w:tblGrid>
      <w:tr>
        <w:trPr>
          <w:trHeight w:val="828" w:hRule="atLeast"/>
        </w:trPr>
        <w:tc>
          <w:tcPr>
            <w:tcW w:w="15517" w:type="dxa"/>
            <w:gridSpan w:val="13"/>
            <w:tcBorders>
              <w:left w:val="nil"/>
              <w:bottom w:val="single" w:sz="8" w:space="0" w:color="000000"/>
              <w:right w:val="nil"/>
            </w:tcBorders>
            <w:shd w:val="clear" w:color="auto" w:fill="C0C0C0"/>
          </w:tcPr>
          <w:p>
            <w:pPr>
              <w:pStyle w:val="TableParagraph"/>
              <w:spacing w:before="56"/>
              <w:ind w:left="1443" w:right="1463"/>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424"/>
              <w:jc w:val="center"/>
              <w:rPr>
                <w:rFonts w:ascii="Times New Roman"/>
                <w:sz w:val="22"/>
              </w:rPr>
            </w:pPr>
            <w:r>
              <w:rPr>
                <w:rFonts w:ascii="Times New Roman"/>
                <w:sz w:val="22"/>
              </w:rPr>
              <w:t>POSEBNI DIO- PROGRAMSKA KLASIFIKACIJA</w:t>
            </w:r>
          </w:p>
        </w:tc>
      </w:tr>
      <w:tr>
        <w:trPr>
          <w:trHeight w:val="846" w:hRule="atLeast"/>
        </w:trPr>
        <w:tc>
          <w:tcPr>
            <w:tcW w:w="1139"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30" w:hanging="5"/>
              <w:jc w:val="center"/>
              <w:rPr>
                <w:sz w:val="20"/>
              </w:rPr>
            </w:pPr>
            <w:r>
              <w:rPr>
                <w:sz w:val="20"/>
              </w:rPr>
              <w:t>Račun/ </w:t>
            </w:r>
            <w:r>
              <w:rPr>
                <w:w w:val="95"/>
                <w:sz w:val="20"/>
              </w:rPr>
              <w:t>Pozicija</w:t>
            </w:r>
          </w:p>
          <w:p>
            <w:pPr>
              <w:pStyle w:val="TableParagraph"/>
              <w:spacing w:before="84"/>
              <w:ind w:left="169"/>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2" w:right="3672"/>
              <w:jc w:val="center"/>
              <w:rPr>
                <w:sz w:val="20"/>
              </w:rPr>
            </w:pPr>
            <w:r>
              <w:rPr>
                <w:sz w:val="20"/>
              </w:rPr>
              <w:t>Opis</w:t>
            </w:r>
          </w:p>
          <w:p>
            <w:pPr>
              <w:pStyle w:val="TableParagraph"/>
              <w:spacing w:before="4"/>
              <w:jc w:val="left"/>
              <w:rPr>
                <w:rFonts w:ascii="Times New Roman"/>
                <w:sz w:val="28"/>
              </w:rPr>
            </w:pPr>
          </w:p>
          <w:p>
            <w:pPr>
              <w:pStyle w:val="TableParagraph"/>
              <w:spacing w:before="0"/>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6" w:right="138"/>
              <w:jc w:val="center"/>
              <w:rPr>
                <w:sz w:val="20"/>
              </w:rPr>
            </w:pPr>
            <w:r>
              <w:rPr>
                <w:sz w:val="20"/>
              </w:rPr>
              <w:t>Izvorni plan za 2014. godinu</w:t>
            </w:r>
          </w:p>
          <w:p>
            <w:pPr>
              <w:pStyle w:val="TableParagraph"/>
              <w:spacing w:before="89"/>
              <w:ind w:left="32"/>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0" w:right="131"/>
              <w:jc w:val="center"/>
              <w:rPr>
                <w:sz w:val="20"/>
              </w:rPr>
            </w:pPr>
            <w:r>
              <w:rPr>
                <w:sz w:val="20"/>
              </w:rPr>
              <w:t>Tekući plan za 2014. godinu</w:t>
            </w:r>
          </w:p>
          <w:p>
            <w:pPr>
              <w:pStyle w:val="TableParagraph"/>
              <w:spacing w:before="89"/>
              <w:ind w:left="21"/>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5" w:right="131"/>
              <w:jc w:val="center"/>
              <w:rPr>
                <w:sz w:val="20"/>
              </w:rPr>
            </w:pPr>
            <w:r>
              <w:rPr>
                <w:sz w:val="20"/>
              </w:rPr>
              <w:t>Izvršenje 01.01.-</w:t>
            </w:r>
          </w:p>
          <w:p>
            <w:pPr>
              <w:pStyle w:val="TableParagraph"/>
              <w:spacing w:line="241" w:lineRule="exact" w:before="0"/>
              <w:ind w:left="147" w:right="130"/>
              <w:jc w:val="center"/>
              <w:rPr>
                <w:sz w:val="20"/>
              </w:rPr>
            </w:pPr>
            <w:r>
              <w:rPr>
                <w:sz w:val="20"/>
              </w:rPr>
              <w:t>30.06.2014.</w:t>
            </w:r>
          </w:p>
          <w:p>
            <w:pPr>
              <w:pStyle w:val="TableParagraph"/>
              <w:spacing w:before="90"/>
              <w:ind w:left="16"/>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34"/>
              <w:jc w:val="center"/>
              <w:rPr>
                <w:sz w:val="20"/>
              </w:rPr>
            </w:pPr>
            <w:r>
              <w:rPr>
                <w:w w:val="95"/>
                <w:sz w:val="20"/>
              </w:rPr>
              <w:t>Indeks </w:t>
            </w:r>
            <w:r>
              <w:rPr>
                <w:sz w:val="20"/>
              </w:rPr>
              <w:t>5/4</w:t>
            </w:r>
          </w:p>
          <w:p>
            <w:pPr>
              <w:pStyle w:val="TableParagraph"/>
              <w:spacing w:before="89"/>
              <w:ind w:left="30"/>
              <w:jc w:val="center"/>
              <w:rPr>
                <w:sz w:val="18"/>
              </w:rPr>
            </w:pPr>
            <w:r>
              <w:rPr>
                <w:w w:val="100"/>
                <w:sz w:val="18"/>
              </w:rPr>
              <w:t>6</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422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85.000,00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85.000,00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44.520,00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52,38%</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4221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Uredska oprema i namještaj</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470,00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3,13%</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4227</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Uređaji, strojevi i oprema za ostale namjene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44.050,00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62,93%</w:t>
            </w:r>
          </w:p>
        </w:tc>
      </w:tr>
      <w:tr>
        <w:trPr>
          <w:trHeight w:val="505" w:hRule="atLeast"/>
        </w:trPr>
        <w:tc>
          <w:tcPr>
            <w:tcW w:w="1139" w:type="dxa"/>
            <w:gridSpan w:val="8"/>
            <w:tcBorders>
              <w:top w:val="single" w:sz="8" w:space="0" w:color="000000"/>
              <w:left w:val="nil"/>
              <w:bottom w:val="single" w:sz="8" w:space="0" w:color="000000"/>
              <w:right w:val="single" w:sz="2" w:space="0" w:color="000000"/>
            </w:tcBorders>
            <w:shd w:val="clear" w:color="auto" w:fill="656599"/>
          </w:tcPr>
          <w:p>
            <w:pPr>
              <w:pStyle w:val="TableParagraph"/>
              <w:spacing w:before="9"/>
              <w:ind w:left="27"/>
              <w:jc w:val="left"/>
              <w:rPr>
                <w:rFonts w:ascii="Verdana"/>
                <w:sz w:val="16"/>
              </w:rPr>
            </w:pPr>
            <w:r>
              <w:rPr>
                <w:rFonts w:ascii="Verdana"/>
                <w:sz w:val="16"/>
              </w:rPr>
              <w:t>RAZDJEL</w:t>
            </w:r>
          </w:p>
          <w:p>
            <w:pPr>
              <w:pStyle w:val="TableParagraph"/>
              <w:spacing w:line="193" w:lineRule="exact" w:before="89"/>
              <w:ind w:right="7"/>
              <w:rPr>
                <w:rFonts w:ascii="Verdana"/>
                <w:sz w:val="16"/>
              </w:rPr>
            </w:pPr>
            <w:r>
              <w:rPr>
                <w:rFonts w:ascii="Verdana"/>
                <w:sz w:val="16"/>
              </w:rPr>
              <w:t>003</w:t>
            </w:r>
          </w:p>
        </w:tc>
        <w:tc>
          <w:tcPr>
            <w:tcW w:w="7778"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78"/>
              <w:jc w:val="left"/>
              <w:rPr>
                <w:rFonts w:ascii="Verdana"/>
                <w:sz w:val="20"/>
              </w:rPr>
            </w:pPr>
            <w:r>
              <w:rPr>
                <w:rFonts w:ascii="Verdana"/>
                <w:w w:val="105"/>
                <w:sz w:val="20"/>
              </w:rPr>
              <w:t>UPRAVNI ODJEL ZA FINANCIJE I GOSPODARSTVO</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3"/>
              <w:rPr>
                <w:rFonts w:ascii="Verdana"/>
                <w:sz w:val="20"/>
              </w:rPr>
            </w:pPr>
            <w:r>
              <w:rPr>
                <w:rFonts w:ascii="Verdana"/>
                <w:sz w:val="20"/>
              </w:rPr>
              <w:t>4.359.707,91</w:t>
            </w:r>
          </w:p>
        </w:tc>
        <w:tc>
          <w:tcPr>
            <w:tcW w:w="1831"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5"/>
              <w:rPr>
                <w:rFonts w:ascii="Verdana"/>
                <w:sz w:val="20"/>
              </w:rPr>
            </w:pPr>
            <w:r>
              <w:rPr>
                <w:rFonts w:ascii="Verdana"/>
                <w:sz w:val="20"/>
              </w:rPr>
              <w:t>4.304.707,91</w:t>
            </w:r>
          </w:p>
        </w:tc>
        <w:tc>
          <w:tcPr>
            <w:tcW w:w="1831"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9"/>
              <w:rPr>
                <w:rFonts w:ascii="Verdana"/>
                <w:sz w:val="20"/>
              </w:rPr>
            </w:pPr>
            <w:r>
              <w:rPr>
                <w:rFonts w:ascii="Verdana"/>
                <w:sz w:val="20"/>
              </w:rPr>
              <w:t>1.813.153,11</w:t>
            </w:r>
          </w:p>
        </w:tc>
        <w:tc>
          <w:tcPr>
            <w:tcW w:w="1105"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61"/>
              <w:rPr>
                <w:rFonts w:ascii="Verdana"/>
                <w:sz w:val="20"/>
              </w:rPr>
            </w:pPr>
            <w:r>
              <w:rPr>
                <w:rFonts w:ascii="Verdana"/>
                <w:sz w:val="20"/>
              </w:rPr>
              <w:t>42,12%</w:t>
            </w:r>
          </w:p>
        </w:tc>
      </w:tr>
      <w:tr>
        <w:trPr>
          <w:trHeight w:val="505" w:hRule="atLeast"/>
        </w:trPr>
        <w:tc>
          <w:tcPr>
            <w:tcW w:w="1139" w:type="dxa"/>
            <w:gridSpan w:val="8"/>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jc w:val="left"/>
              <w:rPr>
                <w:rFonts w:ascii="Verdana"/>
                <w:sz w:val="16"/>
              </w:rPr>
            </w:pPr>
            <w:r>
              <w:rPr>
                <w:rFonts w:ascii="Verdana"/>
                <w:sz w:val="16"/>
              </w:rPr>
              <w:t>00301</w:t>
            </w:r>
          </w:p>
        </w:tc>
        <w:tc>
          <w:tcPr>
            <w:tcW w:w="7778"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8"/>
              <w:jc w:val="left"/>
              <w:rPr>
                <w:rFonts w:ascii="Verdana"/>
                <w:sz w:val="20"/>
              </w:rPr>
            </w:pPr>
            <w:r>
              <w:rPr>
                <w:rFonts w:ascii="Verdana"/>
                <w:sz w:val="20"/>
              </w:rPr>
              <w:t>UO ZA FINANCIJE I</w:t>
            </w:r>
            <w:r>
              <w:rPr>
                <w:rFonts w:ascii="Verdana"/>
                <w:spacing w:val="-53"/>
                <w:sz w:val="20"/>
              </w:rPr>
              <w:t> </w:t>
            </w:r>
            <w:r>
              <w:rPr>
                <w:rFonts w:ascii="Verdana"/>
                <w:sz w:val="20"/>
              </w:rPr>
              <w:t>GOSPODARSTVO</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3"/>
              <w:rPr>
                <w:rFonts w:ascii="Verdana"/>
                <w:sz w:val="20"/>
              </w:rPr>
            </w:pPr>
            <w:r>
              <w:rPr>
                <w:rFonts w:ascii="Verdana"/>
                <w:sz w:val="20"/>
              </w:rPr>
              <w:t>4.359.707,91</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5"/>
              <w:rPr>
                <w:rFonts w:ascii="Verdana"/>
                <w:sz w:val="20"/>
              </w:rPr>
            </w:pPr>
            <w:r>
              <w:rPr>
                <w:rFonts w:ascii="Verdana"/>
                <w:sz w:val="20"/>
              </w:rPr>
              <w:t>4.304.707,91</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9"/>
              <w:rPr>
                <w:rFonts w:ascii="Verdana"/>
                <w:sz w:val="20"/>
              </w:rPr>
            </w:pPr>
            <w:r>
              <w:rPr>
                <w:rFonts w:ascii="Verdana"/>
                <w:sz w:val="20"/>
              </w:rPr>
              <w:t>1.813.153,11</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1"/>
              <w:rPr>
                <w:rFonts w:ascii="Verdana"/>
                <w:sz w:val="20"/>
              </w:rPr>
            </w:pPr>
            <w:r>
              <w:rPr>
                <w:rFonts w:ascii="Verdana"/>
                <w:sz w:val="20"/>
              </w:rPr>
              <w:t>42,12%</w:t>
            </w:r>
          </w:p>
        </w:tc>
      </w:tr>
      <w:tr>
        <w:trPr>
          <w:trHeight w:val="505" w:hRule="atLeast"/>
        </w:trPr>
        <w:tc>
          <w:tcPr>
            <w:tcW w:w="1139"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3011</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8"/>
              <w:jc w:val="left"/>
              <w:rPr>
                <w:rFonts w:ascii="Verdana"/>
                <w:sz w:val="20"/>
              </w:rPr>
            </w:pPr>
            <w:r>
              <w:rPr>
                <w:rFonts w:ascii="Verdana"/>
                <w:sz w:val="20"/>
              </w:rPr>
              <w:t>PROGRAM POTICANJA POLJOPRIVREDNE PROIZVODNJE</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1"/>
              <w:rPr>
                <w:rFonts w:ascii="Verdana"/>
                <w:sz w:val="20"/>
              </w:rPr>
            </w:pPr>
            <w:r>
              <w:rPr>
                <w:rFonts w:ascii="Verdana"/>
                <w:sz w:val="20"/>
              </w:rPr>
              <w:t>261.000,00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3"/>
              <w:rPr>
                <w:rFonts w:ascii="Verdana"/>
                <w:sz w:val="20"/>
              </w:rPr>
            </w:pPr>
            <w:r>
              <w:rPr>
                <w:rFonts w:ascii="Verdana"/>
                <w:sz w:val="20"/>
              </w:rPr>
              <w:t>261.000,00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7"/>
              <w:rPr>
                <w:rFonts w:ascii="Verdana"/>
                <w:sz w:val="20"/>
              </w:rPr>
            </w:pPr>
            <w:r>
              <w:rPr>
                <w:rFonts w:ascii="Verdana"/>
                <w:sz w:val="20"/>
              </w:rPr>
              <w:t>115.201,54</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1"/>
              <w:rPr>
                <w:rFonts w:ascii="Verdana"/>
                <w:sz w:val="20"/>
              </w:rPr>
            </w:pPr>
            <w:r>
              <w:rPr>
                <w:rFonts w:ascii="Verdana"/>
                <w:sz w:val="20"/>
              </w:rPr>
              <w:t>44,14%</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A301110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sz w:val="16"/>
              </w:rPr>
            </w:pPr>
            <w:r>
              <w:rPr>
                <w:rFonts w:ascii="Verdana"/>
                <w:w w:val="105"/>
                <w:sz w:val="16"/>
              </w:rPr>
              <w:t>SUBVENCIJE POLJOPRIVREDNICIMA</w:t>
            </w:r>
          </w:p>
          <w:p>
            <w:pPr>
              <w:pStyle w:val="TableParagraph"/>
              <w:spacing w:before="45"/>
              <w:ind w:left="78"/>
              <w:jc w:val="left"/>
              <w:rPr>
                <w:sz w:val="14"/>
              </w:rPr>
            </w:pPr>
            <w:r>
              <w:rPr>
                <w:sz w:val="14"/>
              </w:rPr>
              <w:t>Funkcija: 0421 Poljoprivreda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140.000,00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5"/>
              <w:jc w:val="left"/>
              <w:rPr>
                <w:rFonts w:ascii="Verdana"/>
                <w:sz w:val="16"/>
              </w:rPr>
            </w:pPr>
            <w:r>
              <w:rPr>
                <w:rFonts w:ascii="Verdana"/>
                <w:sz w:val="16"/>
              </w:rPr>
              <w:t>140.000,00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1052"/>
              <w:jc w:val="left"/>
              <w:rPr>
                <w:rFonts w:ascii="Verdana"/>
                <w:sz w:val="16"/>
              </w:rPr>
            </w:pPr>
            <w:r>
              <w:rPr>
                <w:rFonts w:ascii="Verdana"/>
                <w:sz w:val="16"/>
              </w:rPr>
              <w:t>8.334,54</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7"/>
              <w:jc w:val="left"/>
              <w:rPr>
                <w:rFonts w:ascii="Verdana"/>
                <w:sz w:val="16"/>
              </w:rPr>
            </w:pPr>
            <w:r>
              <w:rPr>
                <w:rFonts w:ascii="Verdana"/>
                <w:sz w:val="16"/>
              </w:rPr>
              <w:t>5,95%</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ind w:left="11"/>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8"/>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ind w:right="1"/>
              <w:rPr>
                <w:sz w:val="14"/>
              </w:rPr>
            </w:pPr>
            <w:r>
              <w:rPr>
                <w:w w:val="100"/>
                <w:sz w:val="14"/>
              </w:rPr>
              <w:t>4</w:t>
            </w:r>
          </w:p>
        </w:tc>
        <w:tc>
          <w:tcPr>
            <w:tcW w:w="115"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352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Subvencije trgovačkim društvima, obrtnicima, malim i srednjim poduzetnicima izvan javnog sektora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8.334,54</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5,95%</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3523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Subvencije poljoprivrednicima, obrtnicima, malim i srednjim poduzetnicima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8.334,54</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5,95%</w:t>
            </w:r>
          </w:p>
        </w:tc>
      </w:tr>
      <w:tr>
        <w:trPr>
          <w:trHeight w:val="232"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2"/>
                <w:sz w:val="16"/>
              </w:rPr>
              <w:t> </w:t>
            </w:r>
            <w:r>
              <w:rPr>
                <w:rFonts w:ascii="Verdana"/>
                <w:sz w:val="16"/>
              </w:rPr>
              <w:t>K301112</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sz w:val="16"/>
              </w:rPr>
            </w:pPr>
            <w:r>
              <w:rPr>
                <w:rFonts w:ascii="Verdana"/>
                <w:sz w:val="16"/>
              </w:rPr>
              <w:t>PROJEKT GRADSKIH VRTOVA</w:t>
            </w:r>
          </w:p>
          <w:p>
            <w:pPr>
              <w:pStyle w:val="TableParagraph"/>
              <w:spacing w:before="45"/>
              <w:ind w:left="78"/>
              <w:jc w:val="left"/>
              <w:rPr>
                <w:sz w:val="14"/>
              </w:rPr>
            </w:pPr>
            <w:r>
              <w:rPr>
                <w:sz w:val="14"/>
              </w:rPr>
              <w:t>Funkcija: 0421 Poljoprivreda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121.000,00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5"/>
              <w:jc w:val="left"/>
              <w:rPr>
                <w:rFonts w:ascii="Verdana"/>
                <w:sz w:val="16"/>
              </w:rPr>
            </w:pPr>
            <w:r>
              <w:rPr>
                <w:rFonts w:ascii="Verdana"/>
                <w:sz w:val="16"/>
              </w:rPr>
              <w:t>121.000,00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2"/>
              <w:jc w:val="left"/>
              <w:rPr>
                <w:rFonts w:ascii="Verdana"/>
                <w:sz w:val="16"/>
              </w:rPr>
            </w:pPr>
            <w:r>
              <w:rPr>
                <w:rFonts w:ascii="Verdana"/>
                <w:sz w:val="16"/>
              </w:rPr>
              <w:t>106.867,00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7"/>
              <w:jc w:val="left"/>
              <w:rPr>
                <w:rFonts w:ascii="Verdana"/>
                <w:sz w:val="16"/>
              </w:rPr>
            </w:pPr>
            <w:r>
              <w:rPr>
                <w:rFonts w:ascii="Verdana"/>
                <w:sz w:val="16"/>
              </w:rPr>
              <w:t>88,32%</w:t>
            </w:r>
          </w:p>
        </w:tc>
      </w:tr>
      <w:tr>
        <w:trPr>
          <w:trHeight w:val="179"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2"/>
              <w:ind w:left="11"/>
              <w:jc w:val="center"/>
              <w:rPr>
                <w:sz w:val="14"/>
              </w:rPr>
            </w:pPr>
            <w:r>
              <w:rPr>
                <w:sz w:val="14"/>
              </w:rPr>
              <w:t>Izv.</w:t>
            </w:r>
          </w:p>
        </w:tc>
        <w:tc>
          <w:tcPr>
            <w:tcW w:w="112" w:type="dxa"/>
            <w:tcBorders>
              <w:top w:val="single" w:sz="12" w:space="0" w:color="000000"/>
              <w:left w:val="single" w:sz="12" w:space="0" w:color="000000"/>
              <w:bottom w:val="single" w:sz="12" w:space="0" w:color="000000"/>
              <w:right w:val="single" w:sz="8" w:space="0" w:color="000000"/>
            </w:tcBorders>
            <w:shd w:val="clear" w:color="auto" w:fill="C0C0C0"/>
          </w:tcPr>
          <w:p>
            <w:pPr>
              <w:pStyle w:val="TableParagraph"/>
              <w:spacing w:line="160" w:lineRule="exact" w:before="0"/>
              <w:ind w:left="8"/>
              <w:jc w:val="left"/>
              <w:rPr>
                <w:sz w:val="14"/>
              </w:rPr>
            </w:pPr>
            <w:r>
              <w:rPr>
                <w:w w:val="100"/>
                <w:sz w:val="14"/>
              </w:rPr>
              <w:t>1</w:t>
            </w: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line="160" w:lineRule="exact" w:before="0"/>
              <w:ind w:right="1"/>
              <w:rPr>
                <w:sz w:val="14"/>
              </w:rPr>
            </w:pPr>
            <w:r>
              <w:rPr>
                <w:w w:val="100"/>
                <w:sz w:val="14"/>
              </w:rPr>
              <w:t>4</w:t>
            </w:r>
          </w:p>
        </w:tc>
        <w:tc>
          <w:tcPr>
            <w:tcW w:w="115" w:type="dxa"/>
            <w:tcBorders>
              <w:top w:val="single" w:sz="12"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12"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12"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329</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6"/>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6"/>
              <w:rPr>
                <w:sz w:val="16"/>
              </w:rPr>
            </w:pPr>
            <w:r>
              <w:rPr>
                <w:sz w:val="16"/>
              </w:rPr>
              <w:t>17.000,00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8"/>
              <w:rPr>
                <w:sz w:val="16"/>
              </w:rPr>
            </w:pPr>
            <w:r>
              <w:rPr>
                <w:sz w:val="16"/>
              </w:rPr>
              <w:t>17.000,00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3"/>
              <w:rPr>
                <w:sz w:val="16"/>
              </w:rPr>
            </w:pPr>
            <w:r>
              <w:rPr>
                <w:sz w:val="16"/>
              </w:rPr>
              <w:t>2.867,00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4"/>
              <w:rPr>
                <w:sz w:val="16"/>
              </w:rPr>
            </w:pPr>
            <w:r>
              <w:rPr>
                <w:sz w:val="16"/>
              </w:rPr>
              <w:t>16,86%</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3299</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2.867,00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16,86%</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411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Materijalna imovina - prirodna bogatstva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104.000,00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100,00%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4111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Zemljište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104.000,00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104.000,00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100,00%</w:t>
            </w:r>
          </w:p>
        </w:tc>
      </w:tr>
      <w:tr>
        <w:trPr>
          <w:trHeight w:val="505" w:hRule="atLeast"/>
        </w:trPr>
        <w:tc>
          <w:tcPr>
            <w:tcW w:w="1139"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3012</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8"/>
              <w:jc w:val="left"/>
              <w:rPr>
                <w:rFonts w:ascii="Verdana" w:hAnsi="Verdana"/>
                <w:sz w:val="20"/>
              </w:rPr>
            </w:pPr>
            <w:r>
              <w:rPr>
                <w:rFonts w:ascii="Verdana" w:hAnsi="Verdana"/>
                <w:w w:val="105"/>
                <w:sz w:val="20"/>
              </w:rPr>
              <w:t>PROGRAM ORGANIZIRANJA I PROVOĐENJA ZAŠTITE I SPAŠAVANJA</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1"/>
              <w:rPr>
                <w:rFonts w:ascii="Verdana"/>
                <w:sz w:val="20"/>
              </w:rPr>
            </w:pPr>
            <w:r>
              <w:rPr>
                <w:rFonts w:ascii="Verdana"/>
                <w:sz w:val="20"/>
              </w:rPr>
              <w:t>25.000,00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3"/>
              <w:rPr>
                <w:rFonts w:ascii="Verdana"/>
                <w:sz w:val="20"/>
              </w:rPr>
            </w:pPr>
            <w:r>
              <w:rPr>
                <w:rFonts w:ascii="Verdana"/>
                <w:sz w:val="20"/>
              </w:rPr>
              <w:t>25.000,00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5"/>
              <w:rPr>
                <w:rFonts w:ascii="Verdana"/>
                <w:sz w:val="20"/>
              </w:rPr>
            </w:pPr>
            <w:r>
              <w:rPr>
                <w:rFonts w:ascii="Verdana"/>
                <w:sz w:val="20"/>
              </w:rPr>
              <w:t>7.500,00</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1"/>
              <w:rPr>
                <w:rFonts w:ascii="Verdana"/>
                <w:sz w:val="20"/>
              </w:rPr>
            </w:pPr>
            <w:r>
              <w:rPr>
                <w:rFonts w:ascii="Verdana"/>
                <w:sz w:val="20"/>
              </w:rPr>
              <w:t>30,00%</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A301210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hAnsi="Verdana"/>
                <w:sz w:val="16"/>
              </w:rPr>
            </w:pPr>
            <w:r>
              <w:rPr>
                <w:rFonts w:ascii="Verdana" w:hAnsi="Verdana"/>
                <w:sz w:val="16"/>
              </w:rPr>
              <w:t>CIVILNA ZAŠTITA</w:t>
            </w:r>
          </w:p>
          <w:p>
            <w:pPr>
              <w:pStyle w:val="TableParagraph"/>
              <w:spacing w:before="45"/>
              <w:ind w:left="78"/>
              <w:jc w:val="left"/>
              <w:rPr>
                <w:sz w:val="14"/>
              </w:rPr>
            </w:pPr>
            <w:r>
              <w:rPr>
                <w:sz w:val="14"/>
              </w:rPr>
              <w:t>Funkcija: 0220 Civilna obrana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60"/>
              <w:jc w:val="left"/>
              <w:rPr>
                <w:rFonts w:ascii="Verdana"/>
                <w:sz w:val="16"/>
              </w:rPr>
            </w:pPr>
            <w:r>
              <w:rPr>
                <w:rFonts w:ascii="Verdana"/>
                <w:sz w:val="16"/>
              </w:rPr>
              <w:t>10.000,00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10.000,00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right="58"/>
              <w:rPr>
                <w:rFonts w:ascii="Verdana"/>
                <w:sz w:val="16"/>
              </w:rPr>
            </w:pPr>
            <w:r>
              <w:rPr>
                <w:rFonts w:ascii="Verdana"/>
                <w:sz w:val="16"/>
              </w:rPr>
              <w:t>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7"/>
              <w:jc w:val="left"/>
              <w:rPr>
                <w:rFonts w:ascii="Verdana"/>
                <w:sz w:val="16"/>
              </w:rPr>
            </w:pPr>
            <w:r>
              <w:rPr>
                <w:rFonts w:ascii="Verdana"/>
                <w:sz w:val="16"/>
              </w:rPr>
              <w:t>0,00%</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323</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6"/>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6"/>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8"/>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4"/>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3237</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A301211</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hAnsi="Verdana"/>
                <w:sz w:val="16"/>
              </w:rPr>
            </w:pPr>
            <w:r>
              <w:rPr>
                <w:rFonts w:ascii="Verdana" w:hAnsi="Verdana"/>
                <w:sz w:val="16"/>
              </w:rPr>
              <w:t>GORSKA SLUŽBA SPAŠAVANJA</w:t>
            </w:r>
          </w:p>
          <w:p>
            <w:pPr>
              <w:pStyle w:val="TableParagraph"/>
              <w:spacing w:before="45"/>
              <w:ind w:left="78"/>
              <w:jc w:val="left"/>
              <w:rPr>
                <w:sz w:val="14"/>
              </w:rPr>
            </w:pPr>
            <w:r>
              <w:rPr>
                <w:sz w:val="14"/>
              </w:rPr>
              <w:t>Funkcija: 0220 Civilna obrana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60"/>
              <w:jc w:val="left"/>
              <w:rPr>
                <w:rFonts w:ascii="Verdana"/>
                <w:sz w:val="16"/>
              </w:rPr>
            </w:pPr>
            <w:r>
              <w:rPr>
                <w:rFonts w:ascii="Verdana"/>
                <w:sz w:val="16"/>
              </w:rPr>
              <w:t>15.000,00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15.000,00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1052"/>
              <w:jc w:val="left"/>
              <w:rPr>
                <w:rFonts w:ascii="Verdana"/>
                <w:sz w:val="16"/>
              </w:rPr>
            </w:pPr>
            <w:r>
              <w:rPr>
                <w:rFonts w:ascii="Verdana"/>
                <w:sz w:val="16"/>
              </w:rPr>
              <w:t>7.500,00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7"/>
              <w:jc w:val="left"/>
              <w:rPr>
                <w:rFonts w:ascii="Verdana"/>
                <w:sz w:val="16"/>
              </w:rPr>
            </w:pPr>
            <w:r>
              <w:rPr>
                <w:rFonts w:ascii="Verdana"/>
                <w:sz w:val="16"/>
              </w:rPr>
              <w:t>50,00%</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ind w:left="11"/>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8"/>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381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7.500,00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50,00%</w:t>
            </w:r>
          </w:p>
        </w:tc>
      </w:tr>
      <w:tr>
        <w:trPr>
          <w:trHeight w:val="282" w:hRule="atLeast"/>
        </w:trPr>
        <w:tc>
          <w:tcPr>
            <w:tcW w:w="738" w:type="dxa"/>
            <w:gridSpan w:val="5"/>
            <w:tcBorders>
              <w:top w:val="single" w:sz="8" w:space="0" w:color="000000"/>
              <w:left w:val="nil"/>
              <w:bottom w:val="nil"/>
              <w:right w:val="single" w:sz="2" w:space="0" w:color="000000"/>
            </w:tcBorders>
          </w:tcPr>
          <w:p>
            <w:pPr>
              <w:pStyle w:val="TableParagraph"/>
              <w:ind w:left="368"/>
              <w:jc w:val="left"/>
              <w:rPr>
                <w:sz w:val="16"/>
              </w:rPr>
            </w:pPr>
            <w:r>
              <w:rPr>
                <w:sz w:val="16"/>
              </w:rPr>
              <w:t>3811</w:t>
            </w:r>
          </w:p>
        </w:tc>
        <w:tc>
          <w:tcPr>
            <w:tcW w:w="401" w:type="dxa"/>
            <w:gridSpan w:val="3"/>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6"/>
              <w:jc w:val="left"/>
              <w:rPr>
                <w:sz w:val="16"/>
              </w:rPr>
            </w:pPr>
            <w:r>
              <w:rPr>
                <w:sz w:val="16"/>
              </w:rPr>
              <w:t>Tekuće donacije u novcu</w:t>
            </w:r>
          </w:p>
        </w:tc>
        <w:tc>
          <w:tcPr>
            <w:tcW w:w="1833" w:type="dxa"/>
            <w:tcBorders>
              <w:top w:val="single" w:sz="8" w:space="0" w:color="000000"/>
              <w:left w:val="single" w:sz="2" w:space="0" w:color="000000"/>
              <w:bottom w:val="nil"/>
              <w:right w:val="single" w:sz="2" w:space="0" w:color="000000"/>
            </w:tcBorders>
          </w:tcPr>
          <w:p>
            <w:pPr>
              <w:pStyle w:val="TableParagraph"/>
              <w:ind w:right="56"/>
              <w:rPr>
                <w:sz w:val="16"/>
              </w:rPr>
            </w:pPr>
            <w:r>
              <w:rPr>
                <w:sz w:val="16"/>
              </w:rPr>
              <w:t>15.000,00</w:t>
            </w:r>
          </w:p>
        </w:tc>
        <w:tc>
          <w:tcPr>
            <w:tcW w:w="1831" w:type="dxa"/>
            <w:tcBorders>
              <w:top w:val="single" w:sz="8" w:space="0" w:color="000000"/>
              <w:left w:val="single" w:sz="2" w:space="0" w:color="000000"/>
              <w:bottom w:val="nil"/>
              <w:right w:val="single" w:sz="2" w:space="0" w:color="000000"/>
            </w:tcBorders>
          </w:tcPr>
          <w:p>
            <w:pPr>
              <w:pStyle w:val="TableParagraph"/>
              <w:ind w:right="58"/>
              <w:rPr>
                <w:sz w:val="16"/>
              </w:rPr>
            </w:pPr>
            <w:r>
              <w:rPr>
                <w:sz w:val="16"/>
              </w:rPr>
              <w:t>15.000,00</w:t>
            </w:r>
          </w:p>
        </w:tc>
        <w:tc>
          <w:tcPr>
            <w:tcW w:w="1831" w:type="dxa"/>
            <w:tcBorders>
              <w:top w:val="single" w:sz="8" w:space="0" w:color="000000"/>
              <w:left w:val="single" w:sz="2" w:space="0" w:color="000000"/>
              <w:bottom w:val="nil"/>
              <w:right w:val="single" w:sz="2" w:space="0" w:color="000000"/>
            </w:tcBorders>
          </w:tcPr>
          <w:p>
            <w:pPr>
              <w:pStyle w:val="TableParagraph"/>
              <w:ind w:right="63"/>
              <w:rPr>
                <w:sz w:val="16"/>
              </w:rPr>
            </w:pPr>
            <w:r>
              <w:rPr>
                <w:sz w:val="16"/>
              </w:rPr>
              <w:t>7.500,00</w:t>
            </w:r>
          </w:p>
        </w:tc>
        <w:tc>
          <w:tcPr>
            <w:tcW w:w="1105" w:type="dxa"/>
            <w:tcBorders>
              <w:top w:val="single" w:sz="8" w:space="0" w:color="000000"/>
              <w:left w:val="single" w:sz="2" w:space="0" w:color="000000"/>
              <w:bottom w:val="nil"/>
              <w:right w:val="nil"/>
            </w:tcBorders>
          </w:tcPr>
          <w:p>
            <w:pPr>
              <w:pStyle w:val="TableParagraph"/>
              <w:ind w:right="54"/>
              <w:rPr>
                <w:sz w:val="16"/>
              </w:rPr>
            </w:pPr>
            <w:r>
              <w:rPr>
                <w:sz w:val="16"/>
              </w:rPr>
              <w:t>50,00%</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3"/>
        <w:gridCol w:w="114"/>
        <w:gridCol w:w="112"/>
        <w:gridCol w:w="174"/>
        <w:gridCol w:w="7780"/>
        <w:gridCol w:w="1833"/>
        <w:gridCol w:w="1832"/>
        <w:gridCol w:w="1833"/>
        <w:gridCol w:w="1105"/>
      </w:tblGrid>
      <w:tr>
        <w:trPr>
          <w:trHeight w:val="828" w:hRule="atLeast"/>
        </w:trPr>
        <w:tc>
          <w:tcPr>
            <w:tcW w:w="15521" w:type="dxa"/>
            <w:gridSpan w:val="13"/>
            <w:tcBorders>
              <w:left w:val="nil"/>
              <w:bottom w:val="single" w:sz="8" w:space="0" w:color="000000"/>
              <w:right w:val="nil"/>
            </w:tcBorders>
            <w:shd w:val="clear" w:color="auto" w:fill="C0C0C0"/>
          </w:tcPr>
          <w:p>
            <w:pPr>
              <w:pStyle w:val="TableParagraph"/>
              <w:spacing w:before="56"/>
              <w:ind w:left="1443" w:right="1467"/>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428"/>
              <w:jc w:val="center"/>
              <w:rPr>
                <w:rFonts w:ascii="Times New Roman"/>
                <w:sz w:val="22"/>
              </w:rPr>
            </w:pPr>
            <w:r>
              <w:rPr>
                <w:rFonts w:ascii="Times New Roman"/>
                <w:sz w:val="22"/>
              </w:rPr>
              <w:t>POSEBNI DIO- PROGRAMSKA KLASIFIKACIJA</w:t>
            </w:r>
          </w:p>
        </w:tc>
      </w:tr>
      <w:tr>
        <w:trPr>
          <w:trHeight w:val="846" w:hRule="atLeast"/>
        </w:trPr>
        <w:tc>
          <w:tcPr>
            <w:tcW w:w="1138"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9" w:hanging="5"/>
              <w:jc w:val="center"/>
              <w:rPr>
                <w:sz w:val="20"/>
              </w:rPr>
            </w:pPr>
            <w:r>
              <w:rPr>
                <w:sz w:val="20"/>
              </w:rPr>
              <w:t>Račun/ </w:t>
            </w:r>
            <w:r>
              <w:rPr>
                <w:w w:val="95"/>
                <w:sz w:val="20"/>
              </w:rPr>
              <w:t>Pozicija</w:t>
            </w:r>
          </w:p>
          <w:p>
            <w:pPr>
              <w:pStyle w:val="TableParagraph"/>
              <w:spacing w:before="84"/>
              <w:ind w:left="170"/>
              <w:jc w:val="center"/>
              <w:rPr>
                <w:sz w:val="18"/>
              </w:rPr>
            </w:pPr>
            <w:r>
              <w:rPr>
                <w:w w:val="100"/>
                <w:sz w:val="18"/>
              </w:rPr>
              <w:t>1</w:t>
            </w:r>
          </w:p>
        </w:tc>
        <w:tc>
          <w:tcPr>
            <w:tcW w:w="7780"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5" w:right="3674"/>
              <w:jc w:val="center"/>
              <w:rPr>
                <w:sz w:val="20"/>
              </w:rPr>
            </w:pPr>
            <w:r>
              <w:rPr>
                <w:sz w:val="20"/>
              </w:rPr>
              <w:t>Opis</w:t>
            </w:r>
          </w:p>
          <w:p>
            <w:pPr>
              <w:pStyle w:val="TableParagraph"/>
              <w:spacing w:before="4"/>
              <w:jc w:val="left"/>
              <w:rPr>
                <w:rFonts w:ascii="Times New Roman"/>
                <w:sz w:val="28"/>
              </w:rPr>
            </w:pPr>
          </w:p>
          <w:p>
            <w:pPr>
              <w:pStyle w:val="TableParagraph"/>
              <w:spacing w:before="0"/>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4" w:right="138"/>
              <w:jc w:val="center"/>
              <w:rPr>
                <w:sz w:val="20"/>
              </w:rPr>
            </w:pPr>
            <w:r>
              <w:rPr>
                <w:sz w:val="20"/>
              </w:rPr>
              <w:t>Izvorni plan za 2014. godinu</w:t>
            </w:r>
          </w:p>
          <w:p>
            <w:pPr>
              <w:pStyle w:val="TableParagraph"/>
              <w:spacing w:before="89"/>
              <w:ind w:left="30"/>
              <w:jc w:val="center"/>
              <w:rPr>
                <w:sz w:val="18"/>
              </w:rPr>
            </w:pPr>
            <w:r>
              <w:rPr>
                <w:w w:val="100"/>
                <w:sz w:val="18"/>
              </w:rPr>
              <w:t>3</w:t>
            </w:r>
          </w:p>
        </w:tc>
        <w:tc>
          <w:tcPr>
            <w:tcW w:w="1832"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1" w:right="135"/>
              <w:jc w:val="center"/>
              <w:rPr>
                <w:sz w:val="20"/>
              </w:rPr>
            </w:pPr>
            <w:r>
              <w:rPr>
                <w:sz w:val="20"/>
              </w:rPr>
              <w:t>Tekući plan za 2014. godinu</w:t>
            </w:r>
          </w:p>
          <w:p>
            <w:pPr>
              <w:pStyle w:val="TableParagraph"/>
              <w:spacing w:before="89"/>
              <w:ind w:left="18"/>
              <w:jc w:val="center"/>
              <w:rPr>
                <w:sz w:val="18"/>
              </w:rPr>
            </w:pPr>
            <w:r>
              <w:rPr>
                <w:w w:val="100"/>
                <w:sz w:val="18"/>
              </w:rPr>
              <w:t>4</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6" w:right="138"/>
              <w:jc w:val="center"/>
              <w:rPr>
                <w:sz w:val="20"/>
              </w:rPr>
            </w:pPr>
            <w:r>
              <w:rPr>
                <w:sz w:val="20"/>
              </w:rPr>
              <w:t>Izvršenje 01.01.-</w:t>
            </w:r>
          </w:p>
          <w:p>
            <w:pPr>
              <w:pStyle w:val="TableParagraph"/>
              <w:spacing w:line="241" w:lineRule="exact" w:before="0"/>
              <w:ind w:left="146" w:right="135"/>
              <w:jc w:val="center"/>
              <w:rPr>
                <w:sz w:val="20"/>
              </w:rPr>
            </w:pPr>
            <w:r>
              <w:rPr>
                <w:sz w:val="20"/>
              </w:rPr>
              <w:t>30.06.2014.</w:t>
            </w:r>
          </w:p>
          <w:p>
            <w:pPr>
              <w:pStyle w:val="TableParagraph"/>
              <w:spacing w:before="90"/>
              <w:ind w:left="10"/>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4" w:right="235"/>
              <w:jc w:val="center"/>
              <w:rPr>
                <w:sz w:val="20"/>
              </w:rPr>
            </w:pPr>
            <w:r>
              <w:rPr>
                <w:w w:val="95"/>
                <w:sz w:val="20"/>
              </w:rPr>
              <w:t>Indeks </w:t>
            </w:r>
            <w:r>
              <w:rPr>
                <w:sz w:val="20"/>
              </w:rPr>
              <w:t>5/4</w:t>
            </w:r>
          </w:p>
          <w:p>
            <w:pPr>
              <w:pStyle w:val="TableParagraph"/>
              <w:spacing w:before="89"/>
              <w:ind w:left="22"/>
              <w:jc w:val="center"/>
              <w:rPr>
                <w:sz w:val="18"/>
              </w:rPr>
            </w:pPr>
            <w:r>
              <w:rPr>
                <w:w w:val="100"/>
                <w:sz w:val="18"/>
              </w:rPr>
              <w:t>6</w:t>
            </w:r>
          </w:p>
        </w:tc>
      </w:tr>
      <w:tr>
        <w:trPr>
          <w:trHeight w:val="505" w:hRule="atLeast"/>
        </w:trPr>
        <w:tc>
          <w:tcPr>
            <w:tcW w:w="1138"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3013</w:t>
            </w:r>
          </w:p>
        </w:tc>
        <w:tc>
          <w:tcPr>
            <w:tcW w:w="7780"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9"/>
              <w:jc w:val="left"/>
              <w:rPr>
                <w:rFonts w:ascii="Verdana"/>
                <w:sz w:val="20"/>
              </w:rPr>
            </w:pPr>
            <w:r>
              <w:rPr>
                <w:rFonts w:ascii="Verdana"/>
                <w:w w:val="105"/>
                <w:sz w:val="20"/>
              </w:rPr>
              <w:t>PROGRAM JAVNE UPRAVE I ADMINISTRACIJE</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4"/>
              <w:rPr>
                <w:rFonts w:ascii="Verdana"/>
                <w:sz w:val="20"/>
              </w:rPr>
            </w:pPr>
            <w:r>
              <w:rPr>
                <w:rFonts w:ascii="Verdana"/>
                <w:sz w:val="20"/>
              </w:rPr>
              <w:t>2.887.707,91</w:t>
            </w:r>
          </w:p>
        </w:tc>
        <w:tc>
          <w:tcPr>
            <w:tcW w:w="1832"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7"/>
              <w:rPr>
                <w:rFonts w:ascii="Verdana"/>
                <w:sz w:val="20"/>
              </w:rPr>
            </w:pPr>
            <w:r>
              <w:rPr>
                <w:rFonts w:ascii="Verdana"/>
                <w:sz w:val="20"/>
              </w:rPr>
              <w:t>2.832.707,91</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83"/>
              <w:rPr>
                <w:rFonts w:ascii="Verdana"/>
                <w:sz w:val="20"/>
              </w:rPr>
            </w:pPr>
            <w:r>
              <w:rPr>
                <w:rFonts w:ascii="Verdana"/>
                <w:sz w:val="20"/>
              </w:rPr>
              <w:t>1.263.288,20</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5"/>
              <w:rPr>
                <w:rFonts w:ascii="Verdana"/>
                <w:sz w:val="20"/>
              </w:rPr>
            </w:pPr>
            <w:r>
              <w:rPr>
                <w:rFonts w:ascii="Verdana"/>
                <w:sz w:val="20"/>
              </w:rPr>
              <w:t>44,60%</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9"/>
                <w:sz w:val="16"/>
              </w:rPr>
              <w:t> </w:t>
            </w:r>
            <w:r>
              <w:rPr>
                <w:rFonts w:ascii="Verdana"/>
                <w:spacing w:val="-3"/>
                <w:sz w:val="16"/>
              </w:rPr>
              <w:t>A301310</w:t>
            </w:r>
          </w:p>
        </w:tc>
        <w:tc>
          <w:tcPr>
            <w:tcW w:w="7780"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sz w:val="16"/>
              </w:rPr>
            </w:pPr>
            <w:r>
              <w:rPr>
                <w:rFonts w:ascii="Verdana"/>
                <w:sz w:val="16"/>
              </w:rPr>
              <w:t>RASHODI ZA ZAPOSLENE</w:t>
            </w:r>
          </w:p>
          <w:p>
            <w:pPr>
              <w:pStyle w:val="TableParagraph"/>
              <w:spacing w:before="45"/>
              <w:ind w:left="79"/>
              <w:jc w:val="left"/>
              <w:rPr>
                <w:sz w:val="14"/>
              </w:rPr>
            </w:pPr>
            <w:r>
              <w:rPr>
                <w:sz w:val="14"/>
              </w:rPr>
              <w:t>Funkcija: 0111 Izvršna i zakonodavna tijela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07"/>
              <w:jc w:val="left"/>
              <w:rPr>
                <w:rFonts w:ascii="Verdana"/>
                <w:sz w:val="16"/>
              </w:rPr>
            </w:pPr>
            <w:r>
              <w:rPr>
                <w:rFonts w:ascii="Verdana"/>
                <w:sz w:val="16"/>
              </w:rPr>
              <w:t>2.153.707,91</w:t>
            </w:r>
          </w:p>
        </w:tc>
        <w:tc>
          <w:tcPr>
            <w:tcW w:w="1832"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02"/>
              <w:jc w:val="left"/>
              <w:rPr>
                <w:rFonts w:ascii="Verdana"/>
                <w:sz w:val="16"/>
              </w:rPr>
            </w:pPr>
            <w:r>
              <w:rPr>
                <w:rFonts w:ascii="Verdana"/>
                <w:sz w:val="16"/>
              </w:rPr>
              <w:t>2.098.707,91</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0"/>
              <w:jc w:val="left"/>
              <w:rPr>
                <w:rFonts w:ascii="Verdana"/>
                <w:sz w:val="16"/>
              </w:rPr>
            </w:pPr>
            <w:r>
              <w:rPr>
                <w:rFonts w:ascii="Verdana"/>
                <w:sz w:val="16"/>
              </w:rPr>
              <w:t>970.701,40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3"/>
              <w:jc w:val="left"/>
              <w:rPr>
                <w:rFonts w:ascii="Verdana"/>
                <w:sz w:val="16"/>
              </w:rPr>
            </w:pPr>
            <w:r>
              <w:rPr>
                <w:rFonts w:ascii="Verdana"/>
                <w:sz w:val="16"/>
              </w:rPr>
              <w:t>46,25%</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ind w:left="11"/>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8"/>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80"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2"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311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1.569.707,91</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1.514.707,91</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726.905,58</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47,99%</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3111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Plaće za redovan rad</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1.569.707,91</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1.514.707,91</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726.905,58</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47,99%</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312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70.000,00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19.205,23</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27,44%</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3121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rashodi za zaposlene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70.000,00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19.205,23</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27,44%</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313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Doprinosi na 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239.000,00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239.000,00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117.735,14</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49,26%</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3132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Doprinosi za zdravstveno osiguranje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212.000,00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212.000,00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105.377,76</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49,71%</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3133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Doprinosi za zapošljavanje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27.000,00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27.000,00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12.357,38</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45,77%</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Naknade troškova zaposlenima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129.000,00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129.000,00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54.293,50</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42,09%</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3211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Službena putovanja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30.000,00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16.030,00</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53,43%</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3212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Naknade za prijevoz, za rad na terenu i odvojeni život</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85.000,00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85.000,00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37.663,50</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44,31%</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3213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Stručno usavršavanje zaposlenika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14.000,00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14.000,00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7"/>
              <w:rPr>
                <w:sz w:val="16"/>
              </w:rPr>
            </w:pPr>
            <w:r>
              <w:rPr>
                <w:sz w:val="16"/>
              </w:rPr>
              <w:t>600,00</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4,29%</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43.000,00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43.000,00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20.109,05</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46,77%</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3237</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23.000,00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23.000,00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7"/>
              <w:rPr>
                <w:sz w:val="16"/>
              </w:rPr>
            </w:pPr>
            <w:r>
              <w:rPr>
                <w:sz w:val="16"/>
              </w:rPr>
              <w:t>4.615,33</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20,07%</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3239</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20.000,00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15.493,72</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77,47%</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324</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Naknade toškova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27.000,00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27.000,00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7"/>
              <w:rPr>
                <w:sz w:val="16"/>
              </w:rPr>
            </w:pPr>
            <w:r>
              <w:rPr>
                <w:sz w:val="16"/>
              </w:rPr>
              <w:t>6.599,94</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24,44%</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3241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Naknade troškova osobama izvan radnog odnosa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27.000,00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27.000,00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7"/>
              <w:rPr>
                <w:sz w:val="16"/>
              </w:rPr>
            </w:pPr>
            <w:r>
              <w:rPr>
                <w:sz w:val="16"/>
              </w:rPr>
              <w:t>6.599,94</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24,44%</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329</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40.000,00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40.000,00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14.142,33</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35,36%</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Premije osiguranja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10.000,00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7"/>
              <w:rPr>
                <w:sz w:val="16"/>
              </w:rPr>
            </w:pPr>
            <w:r>
              <w:rPr>
                <w:sz w:val="16"/>
              </w:rPr>
              <w:t>3.978,25</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39,78%</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3294</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Članarine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30.000,00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30.000,00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10.164,08</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33,88%</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343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financijski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36.000,00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36.000,00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11.710,63</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32,53%</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3431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Bankarske usluge i usluge platnog prometa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35.000,00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35.000,00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11.702,72</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33,44%</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3433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80"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Zatezne kamate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1.000,00</w:t>
            </w:r>
          </w:p>
        </w:tc>
        <w:tc>
          <w:tcPr>
            <w:tcW w:w="1832"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1.000,00</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9"/>
              <w:rPr>
                <w:sz w:val="16"/>
              </w:rPr>
            </w:pPr>
            <w:r>
              <w:rPr>
                <w:sz w:val="16"/>
              </w:rPr>
              <w:t>7,91</w:t>
            </w:r>
          </w:p>
        </w:tc>
        <w:tc>
          <w:tcPr>
            <w:tcW w:w="1105" w:type="dxa"/>
            <w:tcBorders>
              <w:top w:val="single" w:sz="8" w:space="0" w:color="000000"/>
              <w:left w:val="single" w:sz="2" w:space="0" w:color="000000"/>
              <w:bottom w:val="single" w:sz="8" w:space="0" w:color="000000"/>
              <w:right w:val="nil"/>
            </w:tcBorders>
          </w:tcPr>
          <w:p>
            <w:pPr>
              <w:pStyle w:val="TableParagraph"/>
              <w:ind w:right="58"/>
              <w:rPr>
                <w:sz w:val="16"/>
              </w:rPr>
            </w:pPr>
            <w:r>
              <w:rPr>
                <w:sz w:val="16"/>
              </w:rPr>
              <w:t>0,79%</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9"/>
                <w:sz w:val="16"/>
              </w:rPr>
              <w:t> </w:t>
            </w:r>
            <w:r>
              <w:rPr>
                <w:rFonts w:ascii="Verdana"/>
                <w:spacing w:val="-3"/>
                <w:sz w:val="16"/>
              </w:rPr>
              <w:t>A301311</w:t>
            </w:r>
          </w:p>
        </w:tc>
        <w:tc>
          <w:tcPr>
            <w:tcW w:w="7780"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79"/>
              <w:jc w:val="left"/>
              <w:rPr>
                <w:rFonts w:ascii="Verdana"/>
                <w:sz w:val="16"/>
              </w:rPr>
            </w:pPr>
            <w:r>
              <w:rPr>
                <w:rFonts w:ascii="Verdana"/>
                <w:sz w:val="16"/>
              </w:rPr>
              <w:t>NABAVA SREDSTAVA, PROIZVODA I USLUGA ZA RAD UPRAVE</w:t>
            </w:r>
          </w:p>
          <w:p>
            <w:pPr>
              <w:pStyle w:val="TableParagraph"/>
              <w:spacing w:before="45"/>
              <w:ind w:left="79"/>
              <w:jc w:val="left"/>
              <w:rPr>
                <w:sz w:val="14"/>
              </w:rPr>
            </w:pPr>
            <w:r>
              <w:rPr>
                <w:sz w:val="14"/>
              </w:rPr>
              <w:t>Funkcija: 0111 Izvršna i zakonodavna tijela</w:t>
            </w:r>
          </w:p>
        </w:tc>
        <w:tc>
          <w:tcPr>
            <w:tcW w:w="1833"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858"/>
              <w:jc w:val="left"/>
              <w:rPr>
                <w:rFonts w:ascii="Verdana"/>
                <w:sz w:val="16"/>
              </w:rPr>
            </w:pPr>
            <w:r>
              <w:rPr>
                <w:rFonts w:ascii="Verdana"/>
                <w:sz w:val="16"/>
              </w:rPr>
              <w:t>689.000,00</w:t>
            </w:r>
          </w:p>
        </w:tc>
        <w:tc>
          <w:tcPr>
            <w:tcW w:w="1832"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854"/>
              <w:jc w:val="left"/>
              <w:rPr>
                <w:rFonts w:ascii="Verdana"/>
                <w:sz w:val="16"/>
              </w:rPr>
            </w:pPr>
            <w:r>
              <w:rPr>
                <w:rFonts w:ascii="Verdana"/>
                <w:sz w:val="16"/>
              </w:rPr>
              <w:t>689.000,00</w:t>
            </w:r>
          </w:p>
        </w:tc>
        <w:tc>
          <w:tcPr>
            <w:tcW w:w="1833" w:type="dxa"/>
            <w:vMerge w:val="restart"/>
            <w:tcBorders>
              <w:top w:val="single" w:sz="8" w:space="0" w:color="000000"/>
              <w:left w:val="single" w:sz="2" w:space="0" w:color="000000"/>
              <w:bottom w:val="nil"/>
              <w:right w:val="single" w:sz="2" w:space="0" w:color="000000"/>
            </w:tcBorders>
            <w:shd w:val="clear" w:color="auto" w:fill="C0C0C0"/>
          </w:tcPr>
          <w:p>
            <w:pPr>
              <w:pStyle w:val="TableParagraph"/>
              <w:spacing w:before="9"/>
              <w:ind w:left="850"/>
              <w:jc w:val="left"/>
              <w:rPr>
                <w:rFonts w:ascii="Verdana"/>
                <w:sz w:val="16"/>
              </w:rPr>
            </w:pPr>
            <w:r>
              <w:rPr>
                <w:rFonts w:ascii="Verdana"/>
                <w:sz w:val="16"/>
              </w:rPr>
              <w:t>284.465,80</w:t>
            </w:r>
          </w:p>
        </w:tc>
        <w:tc>
          <w:tcPr>
            <w:tcW w:w="1105" w:type="dxa"/>
            <w:vMerge w:val="restart"/>
            <w:tcBorders>
              <w:top w:val="single" w:sz="8" w:space="0" w:color="000000"/>
              <w:left w:val="single" w:sz="2" w:space="0" w:color="000000"/>
              <w:bottom w:val="nil"/>
              <w:right w:val="nil"/>
            </w:tcBorders>
            <w:shd w:val="clear" w:color="auto" w:fill="C0C0C0"/>
          </w:tcPr>
          <w:p>
            <w:pPr>
              <w:pStyle w:val="TableParagraph"/>
              <w:spacing w:before="9"/>
              <w:ind w:left="393"/>
              <w:jc w:val="left"/>
              <w:rPr>
                <w:rFonts w:ascii="Verdana"/>
                <w:sz w:val="16"/>
              </w:rPr>
            </w:pPr>
            <w:r>
              <w:rPr>
                <w:rFonts w:ascii="Verdana"/>
                <w:sz w:val="16"/>
              </w:rPr>
              <w:t>41,29%</w:t>
            </w:r>
          </w:p>
        </w:tc>
      </w:tr>
      <w:tr>
        <w:trPr>
          <w:trHeight w:val="188" w:hRule="atLeast"/>
        </w:trPr>
        <w:tc>
          <w:tcPr>
            <w:tcW w:w="287" w:type="dxa"/>
            <w:tcBorders>
              <w:top w:val="nil"/>
              <w:left w:val="nil"/>
              <w:bottom w:val="nil"/>
              <w:right w:val="single" w:sz="12" w:space="0" w:color="000000"/>
            </w:tcBorders>
            <w:shd w:val="clear" w:color="auto" w:fill="C0C0C0"/>
          </w:tcPr>
          <w:p>
            <w:pPr>
              <w:pStyle w:val="TableParagraph"/>
              <w:spacing w:line="160" w:lineRule="exact" w:before="8"/>
              <w:ind w:left="11"/>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8"/>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ind w:left="14"/>
              <w:jc w:val="left"/>
              <w:rPr>
                <w:sz w:val="14"/>
              </w:rPr>
            </w:pPr>
            <w:r>
              <w:rPr>
                <w:w w:val="100"/>
                <w:sz w:val="14"/>
              </w:rPr>
              <w:t>3</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80" w:type="dxa"/>
            <w:vMerge/>
            <w:tcBorders>
              <w:top w:val="nil"/>
              <w:left w:val="single" w:sz="2" w:space="0" w:color="000000"/>
              <w:bottom w:val="nil"/>
              <w:right w:val="single" w:sz="2" w:space="0" w:color="000000"/>
            </w:tcBorders>
            <w:shd w:val="clear" w:color="auto" w:fill="C0C0C0"/>
          </w:tcPr>
          <w:p>
            <w:pPr>
              <w:rPr>
                <w:sz w:val="2"/>
                <w:szCs w:val="2"/>
              </w:rPr>
            </w:pPr>
          </w:p>
        </w:tc>
        <w:tc>
          <w:tcPr>
            <w:tcW w:w="1833" w:type="dxa"/>
            <w:vMerge/>
            <w:tcBorders>
              <w:top w:val="nil"/>
              <w:left w:val="single" w:sz="2" w:space="0" w:color="000000"/>
              <w:bottom w:val="nil"/>
              <w:right w:val="single" w:sz="2" w:space="0" w:color="000000"/>
            </w:tcBorders>
            <w:shd w:val="clear" w:color="auto" w:fill="C0C0C0"/>
          </w:tcPr>
          <w:p>
            <w:pPr>
              <w:rPr>
                <w:sz w:val="2"/>
                <w:szCs w:val="2"/>
              </w:rPr>
            </w:pPr>
          </w:p>
        </w:tc>
        <w:tc>
          <w:tcPr>
            <w:tcW w:w="1832" w:type="dxa"/>
            <w:vMerge/>
            <w:tcBorders>
              <w:top w:val="nil"/>
              <w:left w:val="single" w:sz="2" w:space="0" w:color="000000"/>
              <w:bottom w:val="nil"/>
              <w:right w:val="single" w:sz="2" w:space="0" w:color="000000"/>
            </w:tcBorders>
            <w:shd w:val="clear" w:color="auto" w:fill="C0C0C0"/>
          </w:tcPr>
          <w:p>
            <w:pPr>
              <w:rPr>
                <w:sz w:val="2"/>
                <w:szCs w:val="2"/>
              </w:rPr>
            </w:pPr>
          </w:p>
        </w:tc>
        <w:tc>
          <w:tcPr>
            <w:tcW w:w="1833" w:type="dxa"/>
            <w:vMerge/>
            <w:tcBorders>
              <w:top w:val="nil"/>
              <w:left w:val="single" w:sz="2" w:space="0" w:color="000000"/>
              <w:bottom w:val="nil"/>
              <w:right w:val="single" w:sz="2" w:space="0" w:color="000000"/>
            </w:tcBorders>
            <w:shd w:val="clear" w:color="auto" w:fill="C0C0C0"/>
          </w:tcPr>
          <w:p>
            <w:pPr>
              <w:rPr>
                <w:sz w:val="2"/>
                <w:szCs w:val="2"/>
              </w:rPr>
            </w:pPr>
          </w:p>
        </w:tc>
        <w:tc>
          <w:tcPr>
            <w:tcW w:w="1105" w:type="dxa"/>
            <w:vMerge/>
            <w:tcBorders>
              <w:top w:val="nil"/>
              <w:left w:val="single" w:sz="2" w:space="0" w:color="000000"/>
              <w:bottom w:val="nil"/>
              <w:right w:val="nil"/>
            </w:tcBorders>
            <w:shd w:val="clear" w:color="auto" w:fill="C0C0C0"/>
          </w:tcPr>
          <w:p>
            <w:pPr>
              <w:rPr>
                <w:sz w:val="2"/>
                <w:szCs w:val="2"/>
              </w:rPr>
            </w:pPr>
          </w:p>
        </w:tc>
      </w:tr>
    </w:tbl>
    <w:p>
      <w:pPr>
        <w:spacing w:after="0"/>
        <w:rPr>
          <w:sz w:val="2"/>
          <w:szCs w:val="2"/>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2"/>
        <w:gridCol w:w="115"/>
        <w:gridCol w:w="112"/>
        <w:gridCol w:w="174"/>
        <w:gridCol w:w="7778"/>
        <w:gridCol w:w="1833"/>
        <w:gridCol w:w="1831"/>
        <w:gridCol w:w="1831"/>
        <w:gridCol w:w="1105"/>
      </w:tblGrid>
      <w:tr>
        <w:trPr>
          <w:trHeight w:val="828" w:hRule="atLeast"/>
        </w:trPr>
        <w:tc>
          <w:tcPr>
            <w:tcW w:w="15516" w:type="dxa"/>
            <w:gridSpan w:val="13"/>
            <w:tcBorders>
              <w:left w:val="nil"/>
              <w:bottom w:val="single" w:sz="8" w:space="0" w:color="000000"/>
              <w:right w:val="nil"/>
            </w:tcBorders>
            <w:shd w:val="clear" w:color="auto" w:fill="C0C0C0"/>
          </w:tcPr>
          <w:p>
            <w:pPr>
              <w:pStyle w:val="TableParagraph"/>
              <w:spacing w:before="56"/>
              <w:ind w:left="1437" w:right="1456"/>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37" w:right="1417"/>
              <w:jc w:val="center"/>
              <w:rPr>
                <w:rFonts w:ascii="Times New Roman"/>
                <w:sz w:val="22"/>
              </w:rPr>
            </w:pPr>
            <w:r>
              <w:rPr>
                <w:rFonts w:ascii="Times New Roman"/>
                <w:sz w:val="22"/>
              </w:rPr>
              <w:t>POSEBNI DIO- PROGRAMSKA KLASIFIKACIJA</w:t>
            </w:r>
          </w:p>
        </w:tc>
      </w:tr>
      <w:tr>
        <w:trPr>
          <w:trHeight w:val="846" w:hRule="atLeast"/>
        </w:trPr>
        <w:tc>
          <w:tcPr>
            <w:tcW w:w="1138"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29" w:hanging="5"/>
              <w:jc w:val="center"/>
              <w:rPr>
                <w:sz w:val="20"/>
              </w:rPr>
            </w:pPr>
            <w:r>
              <w:rPr>
                <w:sz w:val="20"/>
              </w:rPr>
              <w:t>Račun/ </w:t>
            </w:r>
            <w:r>
              <w:rPr>
                <w:w w:val="95"/>
                <w:sz w:val="20"/>
              </w:rPr>
              <w:t>Pozicija</w:t>
            </w:r>
          </w:p>
          <w:p>
            <w:pPr>
              <w:pStyle w:val="TableParagraph"/>
              <w:spacing w:before="84"/>
              <w:ind w:left="170"/>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3" w:right="3671"/>
              <w:jc w:val="center"/>
              <w:rPr>
                <w:sz w:val="20"/>
              </w:rPr>
            </w:pPr>
            <w:r>
              <w:rPr>
                <w:sz w:val="20"/>
              </w:rPr>
              <w:t>Opis</w:t>
            </w:r>
          </w:p>
          <w:p>
            <w:pPr>
              <w:pStyle w:val="TableParagraph"/>
              <w:spacing w:before="4"/>
              <w:jc w:val="left"/>
              <w:rPr>
                <w:rFonts w:ascii="Times New Roman"/>
                <w:sz w:val="28"/>
              </w:rPr>
            </w:pPr>
          </w:p>
          <w:p>
            <w:pPr>
              <w:pStyle w:val="TableParagraph"/>
              <w:spacing w:before="0"/>
              <w:ind w:left="2"/>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8" w:right="138"/>
              <w:jc w:val="center"/>
              <w:rPr>
                <w:sz w:val="20"/>
              </w:rPr>
            </w:pPr>
            <w:r>
              <w:rPr>
                <w:sz w:val="20"/>
              </w:rPr>
              <w:t>Izvorni plan za 2014. godinu</w:t>
            </w:r>
          </w:p>
          <w:p>
            <w:pPr>
              <w:pStyle w:val="TableParagraph"/>
              <w:spacing w:before="89"/>
              <w:ind w:left="34"/>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2" w:right="131"/>
              <w:jc w:val="center"/>
              <w:rPr>
                <w:sz w:val="20"/>
              </w:rPr>
            </w:pPr>
            <w:r>
              <w:rPr>
                <w:sz w:val="20"/>
              </w:rPr>
              <w:t>Tekući plan za 2014. godinu</w:t>
            </w:r>
          </w:p>
          <w:p>
            <w:pPr>
              <w:pStyle w:val="TableParagraph"/>
              <w:spacing w:before="89"/>
              <w:ind w:left="23"/>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7" w:right="131"/>
              <w:jc w:val="center"/>
              <w:rPr>
                <w:sz w:val="20"/>
              </w:rPr>
            </w:pPr>
            <w:r>
              <w:rPr>
                <w:sz w:val="20"/>
              </w:rPr>
              <w:t>Izvršenje 01.01.-</w:t>
            </w:r>
          </w:p>
          <w:p>
            <w:pPr>
              <w:pStyle w:val="TableParagraph"/>
              <w:spacing w:line="241" w:lineRule="exact" w:before="0"/>
              <w:ind w:left="147" w:right="128"/>
              <w:jc w:val="center"/>
              <w:rPr>
                <w:sz w:val="20"/>
              </w:rPr>
            </w:pPr>
            <w:r>
              <w:rPr>
                <w:sz w:val="20"/>
              </w:rPr>
              <w:t>30.06.2014.</w:t>
            </w:r>
          </w:p>
          <w:p>
            <w:pPr>
              <w:pStyle w:val="TableParagraph"/>
              <w:spacing w:before="90"/>
              <w:ind w:left="18"/>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32"/>
              <w:jc w:val="center"/>
              <w:rPr>
                <w:sz w:val="20"/>
              </w:rPr>
            </w:pPr>
            <w:r>
              <w:rPr>
                <w:w w:val="95"/>
                <w:sz w:val="20"/>
              </w:rPr>
              <w:t>Indeks </w:t>
            </w:r>
            <w:r>
              <w:rPr>
                <w:sz w:val="20"/>
              </w:rPr>
              <w:t>5/4</w:t>
            </w:r>
          </w:p>
          <w:p>
            <w:pPr>
              <w:pStyle w:val="TableParagraph"/>
              <w:spacing w:before="89"/>
              <w:ind w:left="32"/>
              <w:jc w:val="center"/>
              <w:rPr>
                <w:sz w:val="18"/>
              </w:rPr>
            </w:pPr>
            <w:r>
              <w:rPr>
                <w:w w:val="100"/>
                <w:sz w:val="18"/>
              </w:rPr>
              <w:t>6</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328.000,00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328.000,00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108.886,13</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33,20%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Uredski materijal i ostali materijalni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53.000,00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26.695,89</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51,34%</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Energija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246.000,00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66.649,73</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27,20%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Mat. i dijelovi za tekuće i investicijsko održavanje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6.889,11</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49,21%</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3225</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Sitni inventar i auto gume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8.391,40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76,29%</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3227</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Službena, radna i zaštitna odjeća i obuća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260,00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4,33%</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3"/>
              <w:rPr>
                <w:sz w:val="16"/>
              </w:rPr>
            </w:pPr>
            <w:r>
              <w:rPr>
                <w:sz w:val="16"/>
              </w:rPr>
              <w:t>322.000,00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140.287,40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43,57%</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Usluge telefona, pošte i prijevoza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73.000,00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31.475,39</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43,12%</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13.011,25</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50,04%</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Usluge promidžbe i informiranja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29.500,00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9.393,90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31,84%</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98.000,00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98.500,00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49.674,76</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50,43%</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3237</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3.194,45</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8,63%</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3238</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Računalne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17.174,89</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52,05%</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3239</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16.362,76</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65,45%</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329</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35.292,27</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90,49%</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3295</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Pristojbe i naknade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4.354,00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87,08%</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3299</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30.938,27</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90,99%</w:t>
            </w:r>
          </w:p>
        </w:tc>
      </w:tr>
      <w:tr>
        <w:trPr>
          <w:trHeight w:val="232"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2"/>
                <w:sz w:val="16"/>
              </w:rPr>
              <w:t> </w:t>
            </w:r>
            <w:r>
              <w:rPr>
                <w:rFonts w:ascii="Verdana"/>
                <w:sz w:val="16"/>
              </w:rPr>
              <w:t>K301312</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0"/>
              <w:jc w:val="left"/>
              <w:rPr>
                <w:rFonts w:ascii="Verdana"/>
                <w:sz w:val="16"/>
              </w:rPr>
            </w:pPr>
            <w:r>
              <w:rPr>
                <w:rFonts w:ascii="Verdana"/>
                <w:w w:val="105"/>
                <w:sz w:val="16"/>
              </w:rPr>
              <w:t>OPREMANJE JAVNE UPRAVE I ADMINISTRACIJE</w:t>
            </w:r>
          </w:p>
          <w:p>
            <w:pPr>
              <w:pStyle w:val="TableParagraph"/>
              <w:spacing w:before="45"/>
              <w:ind w:left="79"/>
              <w:jc w:val="left"/>
              <w:rPr>
                <w:sz w:val="14"/>
              </w:rPr>
            </w:pPr>
            <w:r>
              <w:rPr>
                <w:sz w:val="14"/>
              </w:rPr>
              <w:t>Funkcija: 0111 Izvršna i zakonodavna tijela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61"/>
              <w:jc w:val="left"/>
              <w:rPr>
                <w:rFonts w:ascii="Verdana"/>
                <w:sz w:val="16"/>
              </w:rPr>
            </w:pPr>
            <w:r>
              <w:rPr>
                <w:rFonts w:ascii="Verdana"/>
                <w:sz w:val="16"/>
              </w:rPr>
              <w:t>45.000,00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6"/>
              <w:jc w:val="left"/>
              <w:rPr>
                <w:rFonts w:ascii="Verdana"/>
                <w:sz w:val="16"/>
              </w:rPr>
            </w:pPr>
            <w:r>
              <w:rPr>
                <w:rFonts w:ascii="Verdana"/>
                <w:sz w:val="16"/>
              </w:rPr>
              <w:t>45.000,00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1053"/>
              <w:jc w:val="left"/>
              <w:rPr>
                <w:rFonts w:ascii="Verdana"/>
                <w:sz w:val="16"/>
              </w:rPr>
            </w:pPr>
            <w:r>
              <w:rPr>
                <w:rFonts w:ascii="Verdana"/>
                <w:sz w:val="16"/>
              </w:rPr>
              <w:t>8.121,00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8"/>
              <w:jc w:val="left"/>
              <w:rPr>
                <w:rFonts w:ascii="Verdana"/>
                <w:sz w:val="16"/>
              </w:rPr>
            </w:pPr>
            <w:r>
              <w:rPr>
                <w:rFonts w:ascii="Verdana"/>
                <w:sz w:val="16"/>
              </w:rPr>
              <w:t>18,05%</w:t>
            </w:r>
          </w:p>
        </w:tc>
      </w:tr>
      <w:tr>
        <w:trPr>
          <w:trHeight w:val="179"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2"/>
              <w:ind w:left="11"/>
              <w:jc w:val="center"/>
              <w:rPr>
                <w:sz w:val="14"/>
              </w:rPr>
            </w:pPr>
            <w:r>
              <w:rPr>
                <w:sz w:val="14"/>
              </w:rPr>
              <w:t>Izv.</w:t>
            </w:r>
          </w:p>
        </w:tc>
        <w:tc>
          <w:tcPr>
            <w:tcW w:w="112" w:type="dxa"/>
            <w:tcBorders>
              <w:top w:val="single" w:sz="12" w:space="0" w:color="000000"/>
              <w:left w:val="single" w:sz="12" w:space="0" w:color="000000"/>
              <w:bottom w:val="single" w:sz="12" w:space="0" w:color="000000"/>
              <w:right w:val="single" w:sz="8" w:space="0" w:color="000000"/>
            </w:tcBorders>
            <w:shd w:val="clear" w:color="auto" w:fill="C0C0C0"/>
          </w:tcPr>
          <w:p>
            <w:pPr>
              <w:pStyle w:val="TableParagraph"/>
              <w:spacing w:line="160" w:lineRule="exact" w:before="0"/>
              <w:ind w:left="8"/>
              <w:jc w:val="left"/>
              <w:rPr>
                <w:sz w:val="14"/>
              </w:rPr>
            </w:pPr>
            <w:r>
              <w:rPr>
                <w:w w:val="100"/>
                <w:sz w:val="14"/>
              </w:rPr>
              <w:t>1</w:t>
            </w: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2"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12"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12"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12"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7"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422</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7"/>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5"/>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7"/>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2"/>
              <w:rPr>
                <w:sz w:val="16"/>
              </w:rPr>
            </w:pPr>
            <w:r>
              <w:rPr>
                <w:sz w:val="16"/>
              </w:rPr>
              <w:t>8.121,00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3"/>
              <w:rPr>
                <w:sz w:val="16"/>
              </w:rPr>
            </w:pPr>
            <w:r>
              <w:rPr>
                <w:sz w:val="16"/>
              </w:rPr>
              <w:t>54,14%</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4221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Uredska oprema i namještaj</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15.000,00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2"/>
              <w:rPr>
                <w:sz w:val="16"/>
              </w:rPr>
            </w:pPr>
            <w:r>
              <w:rPr>
                <w:sz w:val="16"/>
              </w:rPr>
              <w:t>8.121,00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54,14%</w:t>
            </w:r>
          </w:p>
        </w:tc>
      </w:tr>
      <w:tr>
        <w:trPr>
          <w:trHeight w:val="267"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426</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0,00%</w:t>
            </w:r>
          </w:p>
        </w:tc>
      </w:tr>
      <w:tr>
        <w:trPr>
          <w:trHeight w:val="265" w:hRule="atLeast"/>
        </w:trPr>
        <w:tc>
          <w:tcPr>
            <w:tcW w:w="737"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4262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7"/>
              <w:jc w:val="left"/>
              <w:rPr>
                <w:sz w:val="16"/>
              </w:rPr>
            </w:pPr>
            <w:r>
              <w:rPr>
                <w:sz w:val="16"/>
              </w:rPr>
              <w:t>Ulaganja u računalne programe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5"/>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7"/>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3"/>
              <w:rPr>
                <w:sz w:val="16"/>
              </w:rPr>
            </w:pPr>
            <w:r>
              <w:rPr>
                <w:sz w:val="16"/>
              </w:rPr>
              <w:t>0,00%</w:t>
            </w:r>
          </w:p>
        </w:tc>
      </w:tr>
      <w:tr>
        <w:trPr>
          <w:trHeight w:val="505" w:hRule="atLeast"/>
        </w:trPr>
        <w:tc>
          <w:tcPr>
            <w:tcW w:w="1138"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3014</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9"/>
              <w:jc w:val="left"/>
              <w:rPr>
                <w:rFonts w:ascii="Verdana"/>
                <w:sz w:val="20"/>
              </w:rPr>
            </w:pPr>
            <w:r>
              <w:rPr>
                <w:rFonts w:ascii="Verdana"/>
                <w:sz w:val="20"/>
              </w:rPr>
              <w:t>PROGRAM POTICANJA RAZVOJA TURIZMA</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0"/>
              <w:rPr>
                <w:rFonts w:ascii="Verdana"/>
                <w:sz w:val="20"/>
              </w:rPr>
            </w:pPr>
            <w:r>
              <w:rPr>
                <w:rFonts w:ascii="Verdana"/>
                <w:sz w:val="20"/>
              </w:rPr>
              <w:t>363.000,00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2"/>
              <w:rPr>
                <w:rFonts w:ascii="Verdana"/>
                <w:sz w:val="20"/>
              </w:rPr>
            </w:pPr>
            <w:r>
              <w:rPr>
                <w:rFonts w:ascii="Verdana"/>
                <w:sz w:val="20"/>
              </w:rPr>
              <w:t>363.000,00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6"/>
              <w:rPr>
                <w:rFonts w:ascii="Verdana"/>
                <w:sz w:val="20"/>
              </w:rPr>
            </w:pPr>
            <w:r>
              <w:rPr>
                <w:rFonts w:ascii="Verdana"/>
                <w:sz w:val="20"/>
              </w:rPr>
              <w:t>231.139,68</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0"/>
              <w:rPr>
                <w:rFonts w:ascii="Verdana"/>
                <w:sz w:val="20"/>
              </w:rPr>
            </w:pPr>
            <w:r>
              <w:rPr>
                <w:rFonts w:ascii="Verdana"/>
                <w:sz w:val="20"/>
              </w:rPr>
              <w:t>63,67%</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9"/>
                <w:sz w:val="16"/>
              </w:rPr>
              <w:t> </w:t>
            </w:r>
            <w:r>
              <w:rPr>
                <w:rFonts w:ascii="Verdana"/>
                <w:spacing w:val="-3"/>
                <w:sz w:val="16"/>
              </w:rPr>
              <w:t>A301410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hAnsi="Verdana"/>
                <w:sz w:val="16"/>
              </w:rPr>
            </w:pPr>
            <w:r>
              <w:rPr>
                <w:rFonts w:ascii="Verdana" w:hAnsi="Verdana"/>
                <w:sz w:val="16"/>
              </w:rPr>
              <w:t>FINANCIRANJE RADA TURISTIČKE ZAJEDNICE</w:t>
            </w:r>
          </w:p>
          <w:p>
            <w:pPr>
              <w:pStyle w:val="TableParagraph"/>
              <w:spacing w:before="45"/>
              <w:ind w:left="79"/>
              <w:jc w:val="left"/>
              <w:rPr>
                <w:sz w:val="14"/>
              </w:rPr>
            </w:pPr>
            <w:r>
              <w:rPr>
                <w:sz w:val="14"/>
              </w:rPr>
              <w:t>Funkcija: 0473 Turizam</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61"/>
              <w:jc w:val="left"/>
              <w:rPr>
                <w:rFonts w:ascii="Verdana"/>
                <w:sz w:val="16"/>
              </w:rPr>
            </w:pPr>
            <w:r>
              <w:rPr>
                <w:rFonts w:ascii="Verdana"/>
                <w:sz w:val="16"/>
              </w:rPr>
              <w:t>50.000,00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6"/>
              <w:jc w:val="left"/>
              <w:rPr>
                <w:rFonts w:ascii="Verdana"/>
                <w:sz w:val="16"/>
              </w:rPr>
            </w:pPr>
            <w:r>
              <w:rPr>
                <w:rFonts w:ascii="Verdana"/>
                <w:sz w:val="16"/>
              </w:rPr>
              <w:t>50.000,00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2"/>
              <w:jc w:val="left"/>
              <w:rPr>
                <w:rFonts w:ascii="Verdana"/>
                <w:sz w:val="16"/>
              </w:rPr>
            </w:pPr>
            <w:r>
              <w:rPr>
                <w:rFonts w:ascii="Verdana"/>
                <w:sz w:val="16"/>
              </w:rPr>
              <w:t>34.124,68</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8"/>
              <w:jc w:val="left"/>
              <w:rPr>
                <w:rFonts w:ascii="Verdana"/>
                <w:sz w:val="16"/>
              </w:rPr>
            </w:pPr>
            <w:r>
              <w:rPr>
                <w:rFonts w:ascii="Verdana"/>
                <w:sz w:val="16"/>
              </w:rPr>
              <w:t>68,25%</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80" w:hRule="atLeast"/>
        </w:trPr>
        <w:tc>
          <w:tcPr>
            <w:tcW w:w="737" w:type="dxa"/>
            <w:gridSpan w:val="5"/>
            <w:tcBorders>
              <w:top w:val="single" w:sz="12" w:space="0" w:color="000000"/>
              <w:left w:val="nil"/>
              <w:bottom w:val="nil"/>
              <w:right w:val="single" w:sz="2" w:space="0" w:color="000000"/>
            </w:tcBorders>
          </w:tcPr>
          <w:p>
            <w:pPr>
              <w:pStyle w:val="TableParagraph"/>
              <w:spacing w:before="5"/>
              <w:ind w:left="457"/>
              <w:jc w:val="left"/>
              <w:rPr>
                <w:sz w:val="16"/>
              </w:rPr>
            </w:pPr>
            <w:r>
              <w:rPr>
                <w:sz w:val="16"/>
              </w:rPr>
              <w:t>381</w:t>
            </w:r>
          </w:p>
        </w:tc>
        <w:tc>
          <w:tcPr>
            <w:tcW w:w="401" w:type="dxa"/>
            <w:gridSpan w:val="3"/>
            <w:tcBorders>
              <w:top w:val="single" w:sz="12"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spacing w:before="5"/>
              <w:ind w:left="87"/>
              <w:jc w:val="left"/>
              <w:rPr>
                <w:sz w:val="16"/>
              </w:rPr>
            </w:pPr>
            <w:r>
              <w:rPr>
                <w:sz w:val="16"/>
              </w:rPr>
              <w:t>Tekuće donacije</w:t>
            </w:r>
          </w:p>
        </w:tc>
        <w:tc>
          <w:tcPr>
            <w:tcW w:w="1833" w:type="dxa"/>
            <w:tcBorders>
              <w:top w:val="single" w:sz="8" w:space="0" w:color="000000"/>
              <w:left w:val="single" w:sz="2" w:space="0" w:color="000000"/>
              <w:bottom w:val="nil"/>
              <w:right w:val="single" w:sz="2" w:space="0" w:color="000000"/>
            </w:tcBorders>
          </w:tcPr>
          <w:p>
            <w:pPr>
              <w:pStyle w:val="TableParagraph"/>
              <w:spacing w:before="5"/>
              <w:ind w:right="55"/>
              <w:rPr>
                <w:sz w:val="16"/>
              </w:rPr>
            </w:pPr>
            <w:r>
              <w:rPr>
                <w:sz w:val="16"/>
              </w:rPr>
              <w:t>50.000,00</w:t>
            </w:r>
          </w:p>
        </w:tc>
        <w:tc>
          <w:tcPr>
            <w:tcW w:w="1831" w:type="dxa"/>
            <w:tcBorders>
              <w:top w:val="single" w:sz="8" w:space="0" w:color="000000"/>
              <w:left w:val="single" w:sz="2" w:space="0" w:color="000000"/>
              <w:bottom w:val="nil"/>
              <w:right w:val="single" w:sz="2" w:space="0" w:color="000000"/>
            </w:tcBorders>
          </w:tcPr>
          <w:p>
            <w:pPr>
              <w:pStyle w:val="TableParagraph"/>
              <w:spacing w:before="5"/>
              <w:ind w:right="57"/>
              <w:rPr>
                <w:sz w:val="16"/>
              </w:rPr>
            </w:pPr>
            <w:r>
              <w:rPr>
                <w:sz w:val="16"/>
              </w:rPr>
              <w:t>50.000,00</w:t>
            </w:r>
          </w:p>
        </w:tc>
        <w:tc>
          <w:tcPr>
            <w:tcW w:w="1831" w:type="dxa"/>
            <w:tcBorders>
              <w:top w:val="single" w:sz="8" w:space="0" w:color="000000"/>
              <w:left w:val="single" w:sz="2" w:space="0" w:color="000000"/>
              <w:bottom w:val="nil"/>
              <w:right w:val="single" w:sz="2" w:space="0" w:color="000000"/>
            </w:tcBorders>
          </w:tcPr>
          <w:p>
            <w:pPr>
              <w:pStyle w:val="TableParagraph"/>
              <w:spacing w:before="5"/>
              <w:ind w:right="59"/>
              <w:rPr>
                <w:sz w:val="16"/>
              </w:rPr>
            </w:pPr>
            <w:r>
              <w:rPr>
                <w:sz w:val="16"/>
              </w:rPr>
              <w:t>34.124,68</w:t>
            </w:r>
          </w:p>
        </w:tc>
        <w:tc>
          <w:tcPr>
            <w:tcW w:w="1105" w:type="dxa"/>
            <w:tcBorders>
              <w:top w:val="single" w:sz="8" w:space="0" w:color="000000"/>
              <w:left w:val="single" w:sz="2" w:space="0" w:color="000000"/>
              <w:bottom w:val="nil"/>
              <w:right w:val="nil"/>
            </w:tcBorders>
          </w:tcPr>
          <w:p>
            <w:pPr>
              <w:pStyle w:val="TableParagraph"/>
              <w:spacing w:before="5"/>
              <w:ind w:right="53"/>
              <w:rPr>
                <w:sz w:val="16"/>
              </w:rPr>
            </w:pPr>
            <w:r>
              <w:rPr>
                <w:sz w:val="16"/>
              </w:rPr>
              <w:t>68,25%</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3"/>
        <w:gridCol w:w="115"/>
        <w:gridCol w:w="112"/>
        <w:gridCol w:w="174"/>
        <w:gridCol w:w="7778"/>
        <w:gridCol w:w="1833"/>
        <w:gridCol w:w="1831"/>
        <w:gridCol w:w="1831"/>
        <w:gridCol w:w="1105"/>
      </w:tblGrid>
      <w:tr>
        <w:trPr>
          <w:trHeight w:val="828" w:hRule="atLeast"/>
        </w:trPr>
        <w:tc>
          <w:tcPr>
            <w:tcW w:w="15517" w:type="dxa"/>
            <w:gridSpan w:val="13"/>
            <w:tcBorders>
              <w:left w:val="nil"/>
              <w:bottom w:val="single" w:sz="8" w:space="0" w:color="000000"/>
              <w:right w:val="nil"/>
            </w:tcBorders>
            <w:shd w:val="clear" w:color="auto" w:fill="C0C0C0"/>
          </w:tcPr>
          <w:p>
            <w:pPr>
              <w:pStyle w:val="TableParagraph"/>
              <w:spacing w:before="56"/>
              <w:ind w:left="1443" w:right="1463"/>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424"/>
              <w:jc w:val="center"/>
              <w:rPr>
                <w:rFonts w:ascii="Times New Roman"/>
                <w:sz w:val="22"/>
              </w:rPr>
            </w:pPr>
            <w:r>
              <w:rPr>
                <w:rFonts w:ascii="Times New Roman"/>
                <w:sz w:val="22"/>
              </w:rPr>
              <w:t>POSEBNI DIO- PROGRAMSKA KLASIFIKACIJA</w:t>
            </w:r>
          </w:p>
        </w:tc>
      </w:tr>
      <w:tr>
        <w:trPr>
          <w:trHeight w:val="846" w:hRule="atLeast"/>
        </w:trPr>
        <w:tc>
          <w:tcPr>
            <w:tcW w:w="1139"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30" w:hanging="5"/>
              <w:jc w:val="center"/>
              <w:rPr>
                <w:sz w:val="20"/>
              </w:rPr>
            </w:pPr>
            <w:r>
              <w:rPr>
                <w:sz w:val="20"/>
              </w:rPr>
              <w:t>Račun/ </w:t>
            </w:r>
            <w:r>
              <w:rPr>
                <w:w w:val="95"/>
                <w:sz w:val="20"/>
              </w:rPr>
              <w:t>Pozicija</w:t>
            </w:r>
          </w:p>
          <w:p>
            <w:pPr>
              <w:pStyle w:val="TableParagraph"/>
              <w:spacing w:before="84"/>
              <w:ind w:left="169"/>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2" w:right="3672"/>
              <w:jc w:val="center"/>
              <w:rPr>
                <w:sz w:val="20"/>
              </w:rPr>
            </w:pPr>
            <w:r>
              <w:rPr>
                <w:sz w:val="20"/>
              </w:rPr>
              <w:t>Opis</w:t>
            </w:r>
          </w:p>
          <w:p>
            <w:pPr>
              <w:pStyle w:val="TableParagraph"/>
              <w:spacing w:before="4"/>
              <w:jc w:val="left"/>
              <w:rPr>
                <w:rFonts w:ascii="Times New Roman"/>
                <w:sz w:val="28"/>
              </w:rPr>
            </w:pPr>
          </w:p>
          <w:p>
            <w:pPr>
              <w:pStyle w:val="TableParagraph"/>
              <w:spacing w:before="0"/>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6" w:right="138"/>
              <w:jc w:val="center"/>
              <w:rPr>
                <w:sz w:val="20"/>
              </w:rPr>
            </w:pPr>
            <w:r>
              <w:rPr>
                <w:sz w:val="20"/>
              </w:rPr>
              <w:t>Izvorni plan za 2014. godinu</w:t>
            </w:r>
          </w:p>
          <w:p>
            <w:pPr>
              <w:pStyle w:val="TableParagraph"/>
              <w:spacing w:before="89"/>
              <w:ind w:left="32"/>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0" w:right="131"/>
              <w:jc w:val="center"/>
              <w:rPr>
                <w:sz w:val="20"/>
              </w:rPr>
            </w:pPr>
            <w:r>
              <w:rPr>
                <w:sz w:val="20"/>
              </w:rPr>
              <w:t>Tekući plan za 2014. godinu</w:t>
            </w:r>
          </w:p>
          <w:p>
            <w:pPr>
              <w:pStyle w:val="TableParagraph"/>
              <w:spacing w:before="89"/>
              <w:ind w:left="21"/>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5" w:right="131"/>
              <w:jc w:val="center"/>
              <w:rPr>
                <w:sz w:val="20"/>
              </w:rPr>
            </w:pPr>
            <w:r>
              <w:rPr>
                <w:sz w:val="20"/>
              </w:rPr>
              <w:t>Izvršenje 01.01.-</w:t>
            </w:r>
          </w:p>
          <w:p>
            <w:pPr>
              <w:pStyle w:val="TableParagraph"/>
              <w:spacing w:line="241" w:lineRule="exact" w:before="0"/>
              <w:ind w:left="147" w:right="130"/>
              <w:jc w:val="center"/>
              <w:rPr>
                <w:sz w:val="20"/>
              </w:rPr>
            </w:pPr>
            <w:r>
              <w:rPr>
                <w:sz w:val="20"/>
              </w:rPr>
              <w:t>30.06.2014.</w:t>
            </w:r>
          </w:p>
          <w:p>
            <w:pPr>
              <w:pStyle w:val="TableParagraph"/>
              <w:spacing w:before="90"/>
              <w:ind w:left="16"/>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34"/>
              <w:jc w:val="center"/>
              <w:rPr>
                <w:sz w:val="20"/>
              </w:rPr>
            </w:pPr>
            <w:r>
              <w:rPr>
                <w:w w:val="95"/>
                <w:sz w:val="20"/>
              </w:rPr>
              <w:t>Indeks </w:t>
            </w:r>
            <w:r>
              <w:rPr>
                <w:sz w:val="20"/>
              </w:rPr>
              <w:t>5/4</w:t>
            </w:r>
          </w:p>
          <w:p>
            <w:pPr>
              <w:pStyle w:val="TableParagraph"/>
              <w:spacing w:before="89"/>
              <w:ind w:left="30"/>
              <w:jc w:val="center"/>
              <w:rPr>
                <w:sz w:val="18"/>
              </w:rPr>
            </w:pPr>
            <w:r>
              <w:rPr>
                <w:w w:val="100"/>
                <w:sz w:val="18"/>
              </w:rPr>
              <w:t>6</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3811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34.124,68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68,25%</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A301412</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sz w:val="16"/>
              </w:rPr>
            </w:pPr>
            <w:r>
              <w:rPr>
                <w:rFonts w:ascii="Verdana"/>
                <w:sz w:val="16"/>
              </w:rPr>
              <w:t>PRIPREMA PROJEKTA "OZALJ - EUROPSKA KOLIJEVKA AKVARELA"</w:t>
            </w:r>
          </w:p>
          <w:p>
            <w:pPr>
              <w:pStyle w:val="TableParagraph"/>
              <w:spacing w:before="45"/>
              <w:ind w:left="78"/>
              <w:jc w:val="left"/>
              <w:rPr>
                <w:sz w:val="14"/>
              </w:rPr>
            </w:pPr>
            <w:r>
              <w:rPr>
                <w:sz w:val="14"/>
              </w:rPr>
              <w:t>Funkcija: 0473 Turizam</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163.000,00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5"/>
              <w:jc w:val="left"/>
              <w:rPr>
                <w:rFonts w:ascii="Verdana"/>
                <w:sz w:val="16"/>
              </w:rPr>
            </w:pPr>
            <w:r>
              <w:rPr>
                <w:rFonts w:ascii="Verdana"/>
                <w:sz w:val="16"/>
              </w:rPr>
              <w:t>163.000,00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2"/>
              <w:jc w:val="left"/>
              <w:rPr>
                <w:rFonts w:ascii="Verdana"/>
                <w:sz w:val="16"/>
              </w:rPr>
            </w:pPr>
            <w:r>
              <w:rPr>
                <w:rFonts w:ascii="Verdana"/>
                <w:sz w:val="16"/>
              </w:rPr>
              <w:t>162.000,00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7"/>
              <w:jc w:val="left"/>
              <w:rPr>
                <w:rFonts w:ascii="Verdana"/>
                <w:sz w:val="16"/>
              </w:rPr>
            </w:pPr>
            <w:r>
              <w:rPr>
                <w:rFonts w:ascii="Verdana"/>
                <w:sz w:val="16"/>
              </w:rPr>
              <w:t>99,39%</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ind w:right="1"/>
              <w:rPr>
                <w:sz w:val="14"/>
              </w:rPr>
            </w:pPr>
            <w:r>
              <w:rPr>
                <w:w w:val="100"/>
                <w:sz w:val="14"/>
              </w:rPr>
              <w:t>4</w:t>
            </w:r>
          </w:p>
        </w:tc>
        <w:tc>
          <w:tcPr>
            <w:tcW w:w="115"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323</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6"/>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4"/>
              <w:rPr>
                <w:sz w:val="16"/>
              </w:rPr>
            </w:pPr>
            <w:r>
              <w:rPr>
                <w:sz w:val="16"/>
              </w:rPr>
              <w:t>163.000,00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8"/>
              <w:rPr>
                <w:sz w:val="16"/>
              </w:rPr>
            </w:pPr>
            <w:r>
              <w:rPr>
                <w:sz w:val="16"/>
              </w:rPr>
              <w:t>163.000,00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0"/>
              <w:rPr>
                <w:sz w:val="16"/>
              </w:rPr>
            </w:pPr>
            <w:r>
              <w:rPr>
                <w:sz w:val="16"/>
              </w:rPr>
              <w:t>162.000,00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4"/>
              <w:rPr>
                <w:sz w:val="16"/>
              </w:rPr>
            </w:pPr>
            <w:r>
              <w:rPr>
                <w:sz w:val="16"/>
              </w:rPr>
              <w:t>99,39%</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3237</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163.000,00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163.000,00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162.000,00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99,39%</w:t>
            </w:r>
          </w:p>
        </w:tc>
      </w:tr>
      <w:tr>
        <w:trPr>
          <w:trHeight w:val="232"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2"/>
                <w:sz w:val="16"/>
              </w:rPr>
              <w:t> </w:t>
            </w:r>
            <w:r>
              <w:rPr>
                <w:rFonts w:ascii="Verdana"/>
                <w:sz w:val="16"/>
              </w:rPr>
              <w:t>K301413</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hAnsi="Verdana"/>
                <w:sz w:val="16"/>
              </w:rPr>
            </w:pPr>
            <w:r>
              <w:rPr>
                <w:rFonts w:ascii="Verdana" w:hAnsi="Verdana"/>
                <w:sz w:val="16"/>
              </w:rPr>
              <w:t>UREĐENJE I OBNOVA STAROG GRADA OZALJ</w:t>
            </w:r>
          </w:p>
          <w:p>
            <w:pPr>
              <w:pStyle w:val="TableParagraph"/>
              <w:spacing w:before="45"/>
              <w:ind w:left="78"/>
              <w:jc w:val="left"/>
              <w:rPr>
                <w:sz w:val="14"/>
              </w:rPr>
            </w:pPr>
            <w:r>
              <w:rPr>
                <w:sz w:val="14"/>
              </w:rPr>
              <w:t>Funkcija: 0473 Turizam</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150.000,00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5"/>
              <w:jc w:val="left"/>
              <w:rPr>
                <w:rFonts w:ascii="Verdana"/>
                <w:sz w:val="16"/>
              </w:rPr>
            </w:pPr>
            <w:r>
              <w:rPr>
                <w:rFonts w:ascii="Verdana"/>
                <w:sz w:val="16"/>
              </w:rPr>
              <w:t>150.000,00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1"/>
              <w:jc w:val="left"/>
              <w:rPr>
                <w:rFonts w:ascii="Verdana"/>
                <w:sz w:val="16"/>
              </w:rPr>
            </w:pPr>
            <w:r>
              <w:rPr>
                <w:rFonts w:ascii="Verdana"/>
                <w:sz w:val="16"/>
              </w:rPr>
              <w:t>35.015,00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7"/>
              <w:jc w:val="left"/>
              <w:rPr>
                <w:rFonts w:ascii="Verdana"/>
                <w:sz w:val="16"/>
              </w:rPr>
            </w:pPr>
            <w:r>
              <w:rPr>
                <w:rFonts w:ascii="Verdana"/>
                <w:sz w:val="16"/>
              </w:rPr>
              <w:t>23,34%</w:t>
            </w:r>
          </w:p>
        </w:tc>
      </w:tr>
      <w:tr>
        <w:trPr>
          <w:trHeight w:val="182"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2"/>
              <w:ind w:left="11"/>
              <w:jc w:val="center"/>
              <w:rPr>
                <w:sz w:val="14"/>
              </w:rPr>
            </w:pPr>
            <w:r>
              <w:rPr>
                <w:sz w:val="14"/>
              </w:rPr>
              <w:t>Izv.</w:t>
            </w:r>
          </w:p>
        </w:tc>
        <w:tc>
          <w:tcPr>
            <w:tcW w:w="112" w:type="dxa"/>
            <w:tcBorders>
              <w:top w:val="single" w:sz="12" w:space="0" w:color="000000"/>
              <w:left w:val="single" w:sz="12" w:space="0" w:color="000000"/>
              <w:bottom w:val="single" w:sz="8" w:space="0" w:color="000000"/>
              <w:right w:val="single" w:sz="8" w:space="0" w:color="000000"/>
            </w:tcBorders>
            <w:shd w:val="clear" w:color="auto" w:fill="C0C0C0"/>
          </w:tcPr>
          <w:p>
            <w:pPr>
              <w:pStyle w:val="TableParagraph"/>
              <w:spacing w:line="162" w:lineRule="exact" w:before="0"/>
              <w:ind w:left="8"/>
              <w:jc w:val="left"/>
              <w:rPr>
                <w:sz w:val="14"/>
              </w:rPr>
            </w:pPr>
            <w:r>
              <w:rPr>
                <w:w w:val="100"/>
                <w:sz w:val="14"/>
              </w:rPr>
              <w:t>1</w:t>
            </w: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line="162" w:lineRule="exact" w:before="0"/>
              <w:ind w:right="1"/>
              <w:rPr>
                <w:sz w:val="14"/>
              </w:rPr>
            </w:pPr>
            <w:r>
              <w:rPr>
                <w:w w:val="100"/>
                <w:sz w:val="14"/>
              </w:rPr>
              <w:t>4</w:t>
            </w:r>
          </w:p>
        </w:tc>
        <w:tc>
          <w:tcPr>
            <w:tcW w:w="115" w:type="dxa"/>
            <w:tcBorders>
              <w:top w:val="single" w:sz="12" w:space="0" w:color="000000"/>
              <w:left w:val="single" w:sz="8" w:space="0" w:color="000000"/>
              <w:bottom w:val="single" w:sz="8" w:space="0" w:color="000000"/>
              <w:right w:val="single" w:sz="12" w:space="0" w:color="000000"/>
            </w:tcBorders>
            <w:shd w:val="clear" w:color="auto" w:fill="C0C0C0"/>
          </w:tcPr>
          <w:p>
            <w:pPr>
              <w:pStyle w:val="TableParagraph"/>
              <w:spacing w:line="162" w:lineRule="exact" w:before="0"/>
              <w:ind w:left="13" w:right="-15"/>
              <w:jc w:val="left"/>
              <w:rPr>
                <w:sz w:val="14"/>
              </w:rPr>
            </w:pPr>
            <w:r>
              <w:rPr>
                <w:w w:val="100"/>
                <w:sz w:val="14"/>
              </w:rPr>
              <w:t>5</w:t>
            </w:r>
          </w:p>
        </w:tc>
        <w:tc>
          <w:tcPr>
            <w:tcW w:w="112" w:type="dxa"/>
            <w:tcBorders>
              <w:top w:val="single" w:sz="12"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12"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412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Nematerijalna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35.015,00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23,34%</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4124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Ostala prava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150.000,00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35.015,00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23,34%</w:t>
            </w:r>
          </w:p>
        </w:tc>
      </w:tr>
      <w:tr>
        <w:trPr>
          <w:trHeight w:val="503" w:hRule="atLeast"/>
        </w:trPr>
        <w:tc>
          <w:tcPr>
            <w:tcW w:w="1139"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3015</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8"/>
              <w:jc w:val="left"/>
              <w:rPr>
                <w:rFonts w:ascii="Verdana" w:hAnsi="Verdana"/>
                <w:sz w:val="20"/>
              </w:rPr>
            </w:pPr>
            <w:r>
              <w:rPr>
                <w:rFonts w:ascii="Verdana" w:hAnsi="Verdana"/>
                <w:sz w:val="20"/>
              </w:rPr>
              <w:t>PROGRAM KREDITNOG ZADUŽENJA</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1"/>
              <w:rPr>
                <w:rFonts w:ascii="Verdana"/>
                <w:sz w:val="20"/>
              </w:rPr>
            </w:pPr>
            <w:r>
              <w:rPr>
                <w:rFonts w:ascii="Verdana"/>
                <w:sz w:val="20"/>
              </w:rPr>
              <w:t>97.000,00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3"/>
              <w:rPr>
                <w:rFonts w:ascii="Verdana"/>
                <w:sz w:val="20"/>
              </w:rPr>
            </w:pPr>
            <w:r>
              <w:rPr>
                <w:rFonts w:ascii="Verdana"/>
                <w:sz w:val="20"/>
              </w:rPr>
              <w:t>97.000,00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5"/>
              <w:rPr>
                <w:rFonts w:ascii="Verdana"/>
                <w:sz w:val="20"/>
              </w:rPr>
            </w:pPr>
            <w:r>
              <w:rPr>
                <w:rFonts w:ascii="Verdana"/>
                <w:sz w:val="20"/>
              </w:rPr>
              <w:t>44.000,00</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1"/>
              <w:rPr>
                <w:rFonts w:ascii="Verdana"/>
                <w:sz w:val="20"/>
              </w:rPr>
            </w:pPr>
            <w:r>
              <w:rPr>
                <w:rFonts w:ascii="Verdana"/>
                <w:sz w:val="20"/>
              </w:rPr>
              <w:t>45,36%</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A301510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sz w:val="16"/>
              </w:rPr>
            </w:pPr>
            <w:r>
              <w:rPr>
                <w:rFonts w:ascii="Verdana"/>
                <w:sz w:val="16"/>
              </w:rPr>
              <w:t>OTPLATA KREDITA</w:t>
            </w:r>
          </w:p>
          <w:p>
            <w:pPr>
              <w:pStyle w:val="TableParagraph"/>
              <w:spacing w:before="45"/>
              <w:ind w:left="78"/>
              <w:jc w:val="left"/>
              <w:rPr>
                <w:sz w:val="14"/>
              </w:rPr>
            </w:pPr>
            <w:r>
              <w:rPr>
                <w:sz w:val="14"/>
              </w:rPr>
              <w:t>Funkcija: 0620 Razvoj zajednice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60"/>
              <w:jc w:val="left"/>
              <w:rPr>
                <w:rFonts w:ascii="Verdana"/>
                <w:sz w:val="16"/>
              </w:rPr>
            </w:pPr>
            <w:r>
              <w:rPr>
                <w:rFonts w:ascii="Verdana"/>
                <w:sz w:val="16"/>
              </w:rPr>
              <w:t>97.000,00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97.000,00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1"/>
              <w:jc w:val="left"/>
              <w:rPr>
                <w:rFonts w:ascii="Verdana"/>
                <w:sz w:val="16"/>
              </w:rPr>
            </w:pPr>
            <w:r>
              <w:rPr>
                <w:rFonts w:ascii="Verdana"/>
                <w:sz w:val="16"/>
              </w:rPr>
              <w:t>44.000,00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7"/>
              <w:jc w:val="left"/>
              <w:rPr>
                <w:rFonts w:ascii="Verdana"/>
                <w:sz w:val="16"/>
              </w:rPr>
            </w:pPr>
            <w:r>
              <w:rPr>
                <w:rFonts w:ascii="Verdana"/>
                <w:sz w:val="16"/>
              </w:rPr>
              <w:t>45,36%</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342</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6"/>
              <w:jc w:val="left"/>
              <w:rPr>
                <w:sz w:val="16"/>
              </w:rPr>
            </w:pPr>
            <w:r>
              <w:rPr>
                <w:sz w:val="16"/>
              </w:rPr>
              <w:t>Kamate za primljene zajmove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6"/>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8"/>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4"/>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3422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Kamate za primljene zajmove od banaka i ostalih financijskih institucija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343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Ostali financijski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44.000,00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84,62%</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3434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Ostali nespomenuti financijski rashodi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44.000,00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84,62%</w:t>
            </w:r>
          </w:p>
        </w:tc>
      </w:tr>
      <w:tr>
        <w:trPr>
          <w:trHeight w:val="505" w:hRule="atLeast"/>
        </w:trPr>
        <w:tc>
          <w:tcPr>
            <w:tcW w:w="1139"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3016</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8"/>
              <w:jc w:val="left"/>
              <w:rPr>
                <w:rFonts w:ascii="Verdana"/>
                <w:sz w:val="20"/>
              </w:rPr>
            </w:pPr>
            <w:r>
              <w:rPr>
                <w:rFonts w:ascii="Verdana"/>
                <w:sz w:val="20"/>
              </w:rPr>
              <w:t>PROGRAM JAVNIH POTREBA U VATROGASTVU</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1"/>
              <w:rPr>
                <w:rFonts w:ascii="Verdana"/>
                <w:sz w:val="20"/>
              </w:rPr>
            </w:pPr>
            <w:r>
              <w:rPr>
                <w:rFonts w:ascii="Verdana"/>
                <w:sz w:val="20"/>
              </w:rPr>
              <w:t>470.000,00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3"/>
              <w:rPr>
                <w:rFonts w:ascii="Verdana"/>
                <w:sz w:val="20"/>
              </w:rPr>
            </w:pPr>
            <w:r>
              <w:rPr>
                <w:rFonts w:ascii="Verdana"/>
                <w:sz w:val="20"/>
              </w:rPr>
              <w:t>470.000,00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7"/>
              <w:rPr>
                <w:rFonts w:ascii="Verdana"/>
                <w:sz w:val="20"/>
              </w:rPr>
            </w:pPr>
            <w:r>
              <w:rPr>
                <w:rFonts w:ascii="Verdana"/>
                <w:sz w:val="20"/>
              </w:rPr>
              <w:t>150.000,00</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1"/>
              <w:rPr>
                <w:rFonts w:ascii="Verdana"/>
                <w:sz w:val="20"/>
              </w:rPr>
            </w:pPr>
            <w:r>
              <w:rPr>
                <w:rFonts w:ascii="Verdana"/>
                <w:sz w:val="20"/>
              </w:rPr>
              <w:t>31,91%</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A301610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hAnsi="Verdana"/>
                <w:sz w:val="16"/>
              </w:rPr>
            </w:pPr>
            <w:r>
              <w:rPr>
                <w:rFonts w:ascii="Verdana" w:hAnsi="Verdana"/>
                <w:sz w:val="16"/>
              </w:rPr>
              <w:t>PREVENTIVNO DJELOVANJE NA ZAŠTITU OD POŽARA</w:t>
            </w:r>
          </w:p>
          <w:p>
            <w:pPr>
              <w:pStyle w:val="TableParagraph"/>
              <w:spacing w:before="45"/>
              <w:ind w:left="78"/>
              <w:jc w:val="left"/>
              <w:rPr>
                <w:sz w:val="14"/>
              </w:rPr>
            </w:pPr>
            <w:r>
              <w:rPr>
                <w:sz w:val="14"/>
              </w:rPr>
              <w:t>Funkcija: 0320 Usluge protupožarne zaštite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470.000,00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5"/>
              <w:jc w:val="left"/>
              <w:rPr>
                <w:rFonts w:ascii="Verdana"/>
                <w:sz w:val="16"/>
              </w:rPr>
            </w:pPr>
            <w:r>
              <w:rPr>
                <w:rFonts w:ascii="Verdana"/>
                <w:sz w:val="16"/>
              </w:rPr>
              <w:t>470.000,00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2"/>
              <w:jc w:val="left"/>
              <w:rPr>
                <w:rFonts w:ascii="Verdana"/>
                <w:sz w:val="16"/>
              </w:rPr>
            </w:pPr>
            <w:r>
              <w:rPr>
                <w:rFonts w:ascii="Verdana"/>
                <w:sz w:val="16"/>
              </w:rPr>
              <w:t>150.000,00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7"/>
              <w:jc w:val="left"/>
              <w:rPr>
                <w:rFonts w:ascii="Verdana"/>
                <w:sz w:val="16"/>
              </w:rPr>
            </w:pPr>
            <w:r>
              <w:rPr>
                <w:rFonts w:ascii="Verdana"/>
                <w:sz w:val="16"/>
              </w:rPr>
              <w:t>31,91%</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381</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6"/>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4"/>
              <w:rPr>
                <w:sz w:val="16"/>
              </w:rPr>
            </w:pPr>
            <w:r>
              <w:rPr>
                <w:sz w:val="16"/>
              </w:rPr>
              <w:t>470.000,00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8"/>
              <w:rPr>
                <w:sz w:val="16"/>
              </w:rPr>
            </w:pPr>
            <w:r>
              <w:rPr>
                <w:sz w:val="16"/>
              </w:rPr>
              <w:t>470.000,00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0"/>
              <w:rPr>
                <w:sz w:val="16"/>
              </w:rPr>
            </w:pPr>
            <w:r>
              <w:rPr>
                <w:sz w:val="16"/>
              </w:rPr>
              <w:t>150.000,00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4"/>
              <w:rPr>
                <w:sz w:val="16"/>
              </w:rPr>
            </w:pPr>
            <w:r>
              <w:rPr>
                <w:sz w:val="16"/>
              </w:rPr>
              <w:t>31,91%</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3811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470.000,00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470.000,00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150.000,00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31,91%</w:t>
            </w:r>
          </w:p>
        </w:tc>
      </w:tr>
      <w:tr>
        <w:trPr>
          <w:trHeight w:val="505" w:hRule="atLeast"/>
        </w:trPr>
        <w:tc>
          <w:tcPr>
            <w:tcW w:w="1139"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3017</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8"/>
              <w:jc w:val="left"/>
              <w:rPr>
                <w:rFonts w:ascii="Verdana" w:hAnsi="Verdana"/>
                <w:sz w:val="20"/>
              </w:rPr>
            </w:pPr>
            <w:r>
              <w:rPr>
                <w:rFonts w:ascii="Verdana" w:hAnsi="Verdana"/>
                <w:sz w:val="20"/>
              </w:rPr>
              <w:t>PROGRAM RAZVOJA MALOG I SREDNJEG PODUZETNIŠTVA</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68"/>
              <w:rPr>
                <w:rFonts w:ascii="Verdana"/>
                <w:sz w:val="20"/>
              </w:rPr>
            </w:pPr>
            <w:r>
              <w:rPr>
                <w:rFonts w:ascii="Verdana"/>
                <w:sz w:val="20"/>
              </w:rPr>
              <w:t>8.000,00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3"/>
              <w:rPr>
                <w:rFonts w:ascii="Verdana"/>
                <w:sz w:val="20"/>
              </w:rPr>
            </w:pPr>
            <w:r>
              <w:rPr>
                <w:rFonts w:ascii="Verdana"/>
                <w:sz w:val="20"/>
              </w:rPr>
              <w:t>8.000,00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3"/>
              <w:rPr>
                <w:rFonts w:ascii="Verdana"/>
                <w:sz w:val="20"/>
              </w:rPr>
            </w:pPr>
            <w:r>
              <w:rPr>
                <w:rFonts w:ascii="Verdana"/>
                <w:sz w:val="20"/>
              </w:rPr>
              <w:t>49,11</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1"/>
              <w:rPr>
                <w:rFonts w:ascii="Verdana"/>
                <w:sz w:val="20"/>
              </w:rPr>
            </w:pPr>
            <w:r>
              <w:rPr>
                <w:rFonts w:ascii="Verdana"/>
                <w:sz w:val="20"/>
              </w:rPr>
              <w:t>0,61%</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A301711</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hAnsi="Verdana"/>
                <w:sz w:val="16"/>
              </w:rPr>
            </w:pPr>
            <w:r>
              <w:rPr>
                <w:rFonts w:ascii="Verdana" w:hAnsi="Verdana"/>
                <w:w w:val="105"/>
                <w:sz w:val="16"/>
              </w:rPr>
              <w:t>POMOĆ OBRTNICIMA, MALIM I SREDNJIM PODUZETNICIMA</w:t>
            </w:r>
          </w:p>
          <w:p>
            <w:pPr>
              <w:pStyle w:val="TableParagraph"/>
              <w:spacing w:before="45"/>
              <w:ind w:left="78"/>
              <w:jc w:val="left"/>
              <w:rPr>
                <w:sz w:val="14"/>
              </w:rPr>
            </w:pPr>
            <w:r>
              <w:rPr>
                <w:sz w:val="14"/>
              </w:rPr>
              <w:t>Funkcija: 0490 Ekonomski poslovi koji nisu drugdje svrstani</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1060"/>
              <w:jc w:val="left"/>
              <w:rPr>
                <w:rFonts w:ascii="Verdana"/>
                <w:sz w:val="16"/>
              </w:rPr>
            </w:pPr>
            <w:r>
              <w:rPr>
                <w:rFonts w:ascii="Verdana"/>
                <w:sz w:val="16"/>
              </w:rPr>
              <w:t>8.000,00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1054"/>
              <w:jc w:val="left"/>
              <w:rPr>
                <w:rFonts w:ascii="Verdana"/>
                <w:sz w:val="16"/>
              </w:rPr>
            </w:pPr>
            <w:r>
              <w:rPr>
                <w:rFonts w:ascii="Verdana"/>
                <w:sz w:val="16"/>
              </w:rPr>
              <w:t>8.000,00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right="56"/>
              <w:rPr>
                <w:rFonts w:ascii="Verdana"/>
                <w:sz w:val="16"/>
              </w:rPr>
            </w:pPr>
            <w:r>
              <w:rPr>
                <w:rFonts w:ascii="Verdana"/>
                <w:sz w:val="16"/>
              </w:rPr>
              <w:t>49,11</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7"/>
              <w:jc w:val="left"/>
              <w:rPr>
                <w:rFonts w:ascii="Verdana"/>
                <w:sz w:val="16"/>
              </w:rPr>
            </w:pPr>
            <w:r>
              <w:rPr>
                <w:rFonts w:ascii="Verdana"/>
                <w:sz w:val="16"/>
              </w:rPr>
              <w:t>0,61%</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ind w:left="11"/>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8"/>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329</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3299</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Ostali nespomenuti rashodi poslovanja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85" w:hRule="atLeast"/>
        </w:trPr>
        <w:tc>
          <w:tcPr>
            <w:tcW w:w="738" w:type="dxa"/>
            <w:gridSpan w:val="5"/>
            <w:tcBorders>
              <w:top w:val="single" w:sz="8" w:space="0" w:color="000000"/>
              <w:left w:val="nil"/>
              <w:bottom w:val="nil"/>
              <w:right w:val="single" w:sz="2" w:space="0" w:color="000000"/>
            </w:tcBorders>
          </w:tcPr>
          <w:p>
            <w:pPr>
              <w:pStyle w:val="TableParagraph"/>
              <w:ind w:left="457"/>
              <w:jc w:val="left"/>
              <w:rPr>
                <w:sz w:val="16"/>
              </w:rPr>
            </w:pPr>
            <w:r>
              <w:rPr>
                <w:sz w:val="16"/>
              </w:rPr>
              <w:t>352</w:t>
            </w:r>
          </w:p>
        </w:tc>
        <w:tc>
          <w:tcPr>
            <w:tcW w:w="401" w:type="dxa"/>
            <w:gridSpan w:val="3"/>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6"/>
              <w:jc w:val="left"/>
              <w:rPr>
                <w:sz w:val="16"/>
              </w:rPr>
            </w:pPr>
            <w:r>
              <w:rPr>
                <w:sz w:val="16"/>
              </w:rPr>
              <w:t>Subvencije trgovačkim društvima, obrtnicima, malim i srednjim poduzetnicima izvan javnog sektora</w:t>
            </w:r>
          </w:p>
        </w:tc>
        <w:tc>
          <w:tcPr>
            <w:tcW w:w="1833" w:type="dxa"/>
            <w:tcBorders>
              <w:top w:val="single" w:sz="8" w:space="0" w:color="000000"/>
              <w:left w:val="single" w:sz="2" w:space="0" w:color="000000"/>
              <w:bottom w:val="nil"/>
              <w:right w:val="single" w:sz="2" w:space="0" w:color="000000"/>
            </w:tcBorders>
          </w:tcPr>
          <w:p>
            <w:pPr>
              <w:pStyle w:val="TableParagraph"/>
              <w:ind w:right="56"/>
              <w:rPr>
                <w:sz w:val="16"/>
              </w:rPr>
            </w:pPr>
            <w:r>
              <w:rPr>
                <w:sz w:val="16"/>
              </w:rPr>
              <w:t>2.000,00</w:t>
            </w:r>
          </w:p>
        </w:tc>
        <w:tc>
          <w:tcPr>
            <w:tcW w:w="1831" w:type="dxa"/>
            <w:tcBorders>
              <w:top w:val="single" w:sz="8" w:space="0" w:color="000000"/>
              <w:left w:val="single" w:sz="2" w:space="0" w:color="000000"/>
              <w:bottom w:val="nil"/>
              <w:right w:val="single" w:sz="2" w:space="0" w:color="000000"/>
            </w:tcBorders>
          </w:tcPr>
          <w:p>
            <w:pPr>
              <w:pStyle w:val="TableParagraph"/>
              <w:ind w:right="58"/>
              <w:rPr>
                <w:sz w:val="16"/>
              </w:rPr>
            </w:pPr>
            <w:r>
              <w:rPr>
                <w:sz w:val="16"/>
              </w:rPr>
              <w:t>2.000,00</w:t>
            </w:r>
          </w:p>
        </w:tc>
        <w:tc>
          <w:tcPr>
            <w:tcW w:w="1831" w:type="dxa"/>
            <w:tcBorders>
              <w:top w:val="single" w:sz="8" w:space="0" w:color="000000"/>
              <w:left w:val="single" w:sz="2" w:space="0" w:color="000000"/>
              <w:bottom w:val="nil"/>
              <w:right w:val="single" w:sz="2" w:space="0" w:color="000000"/>
            </w:tcBorders>
          </w:tcPr>
          <w:p>
            <w:pPr>
              <w:pStyle w:val="TableParagraph"/>
              <w:ind w:right="65"/>
              <w:rPr>
                <w:sz w:val="16"/>
              </w:rPr>
            </w:pPr>
            <w:r>
              <w:rPr>
                <w:sz w:val="16"/>
              </w:rPr>
              <w:t>49,11</w:t>
            </w:r>
          </w:p>
        </w:tc>
        <w:tc>
          <w:tcPr>
            <w:tcW w:w="1105" w:type="dxa"/>
            <w:tcBorders>
              <w:top w:val="single" w:sz="8" w:space="0" w:color="000000"/>
              <w:left w:val="single" w:sz="2" w:space="0" w:color="000000"/>
              <w:bottom w:val="nil"/>
              <w:right w:val="nil"/>
            </w:tcBorders>
          </w:tcPr>
          <w:p>
            <w:pPr>
              <w:pStyle w:val="TableParagraph"/>
              <w:ind w:right="54"/>
              <w:rPr>
                <w:sz w:val="16"/>
              </w:rPr>
            </w:pPr>
            <w:r>
              <w:rPr>
                <w:sz w:val="16"/>
              </w:rPr>
              <w:t>2,46%</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3"/>
        <w:gridCol w:w="115"/>
        <w:gridCol w:w="112"/>
        <w:gridCol w:w="174"/>
        <w:gridCol w:w="7778"/>
        <w:gridCol w:w="1833"/>
        <w:gridCol w:w="1831"/>
        <w:gridCol w:w="1831"/>
        <w:gridCol w:w="1105"/>
      </w:tblGrid>
      <w:tr>
        <w:trPr>
          <w:trHeight w:val="828" w:hRule="atLeast"/>
        </w:trPr>
        <w:tc>
          <w:tcPr>
            <w:tcW w:w="15517" w:type="dxa"/>
            <w:gridSpan w:val="13"/>
            <w:tcBorders>
              <w:left w:val="nil"/>
              <w:bottom w:val="single" w:sz="8" w:space="0" w:color="000000"/>
              <w:right w:val="nil"/>
            </w:tcBorders>
            <w:shd w:val="clear" w:color="auto" w:fill="C0C0C0"/>
          </w:tcPr>
          <w:p>
            <w:pPr>
              <w:pStyle w:val="TableParagraph"/>
              <w:spacing w:before="56"/>
              <w:ind w:left="1443" w:right="1463"/>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424"/>
              <w:jc w:val="center"/>
              <w:rPr>
                <w:rFonts w:ascii="Times New Roman"/>
                <w:sz w:val="22"/>
              </w:rPr>
            </w:pPr>
            <w:r>
              <w:rPr>
                <w:rFonts w:ascii="Times New Roman"/>
                <w:sz w:val="22"/>
              </w:rPr>
              <w:t>POSEBNI DIO- PROGRAMSKA KLASIFIKACIJA</w:t>
            </w:r>
          </w:p>
        </w:tc>
      </w:tr>
      <w:tr>
        <w:trPr>
          <w:trHeight w:val="846" w:hRule="atLeast"/>
        </w:trPr>
        <w:tc>
          <w:tcPr>
            <w:tcW w:w="1139"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30" w:hanging="5"/>
              <w:jc w:val="center"/>
              <w:rPr>
                <w:sz w:val="20"/>
              </w:rPr>
            </w:pPr>
            <w:r>
              <w:rPr>
                <w:sz w:val="20"/>
              </w:rPr>
              <w:t>Račun/ </w:t>
            </w:r>
            <w:r>
              <w:rPr>
                <w:w w:val="95"/>
                <w:sz w:val="20"/>
              </w:rPr>
              <w:t>Pozicija</w:t>
            </w:r>
          </w:p>
          <w:p>
            <w:pPr>
              <w:pStyle w:val="TableParagraph"/>
              <w:spacing w:before="84"/>
              <w:ind w:left="169"/>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2" w:right="3672"/>
              <w:jc w:val="center"/>
              <w:rPr>
                <w:sz w:val="20"/>
              </w:rPr>
            </w:pPr>
            <w:r>
              <w:rPr>
                <w:sz w:val="20"/>
              </w:rPr>
              <w:t>Opis</w:t>
            </w:r>
          </w:p>
          <w:p>
            <w:pPr>
              <w:pStyle w:val="TableParagraph"/>
              <w:spacing w:before="4"/>
              <w:jc w:val="left"/>
              <w:rPr>
                <w:rFonts w:ascii="Times New Roman"/>
                <w:sz w:val="28"/>
              </w:rPr>
            </w:pPr>
          </w:p>
          <w:p>
            <w:pPr>
              <w:pStyle w:val="TableParagraph"/>
              <w:spacing w:before="0"/>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6" w:right="138"/>
              <w:jc w:val="center"/>
              <w:rPr>
                <w:sz w:val="20"/>
              </w:rPr>
            </w:pPr>
            <w:r>
              <w:rPr>
                <w:sz w:val="20"/>
              </w:rPr>
              <w:t>Izvorni plan za 2014. godinu</w:t>
            </w:r>
          </w:p>
          <w:p>
            <w:pPr>
              <w:pStyle w:val="TableParagraph"/>
              <w:spacing w:before="89"/>
              <w:ind w:left="32"/>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0" w:right="131"/>
              <w:jc w:val="center"/>
              <w:rPr>
                <w:sz w:val="20"/>
              </w:rPr>
            </w:pPr>
            <w:r>
              <w:rPr>
                <w:sz w:val="20"/>
              </w:rPr>
              <w:t>Tekući plan za 2014. godinu</w:t>
            </w:r>
          </w:p>
          <w:p>
            <w:pPr>
              <w:pStyle w:val="TableParagraph"/>
              <w:spacing w:before="89"/>
              <w:ind w:left="21"/>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5" w:right="131"/>
              <w:jc w:val="center"/>
              <w:rPr>
                <w:sz w:val="20"/>
              </w:rPr>
            </w:pPr>
            <w:r>
              <w:rPr>
                <w:sz w:val="20"/>
              </w:rPr>
              <w:t>Izvršenje 01.01.-</w:t>
            </w:r>
          </w:p>
          <w:p>
            <w:pPr>
              <w:pStyle w:val="TableParagraph"/>
              <w:spacing w:line="241" w:lineRule="exact" w:before="0"/>
              <w:ind w:left="147" w:right="130"/>
              <w:jc w:val="center"/>
              <w:rPr>
                <w:sz w:val="20"/>
              </w:rPr>
            </w:pPr>
            <w:r>
              <w:rPr>
                <w:sz w:val="20"/>
              </w:rPr>
              <w:t>30.06.2014.</w:t>
            </w:r>
          </w:p>
          <w:p>
            <w:pPr>
              <w:pStyle w:val="TableParagraph"/>
              <w:spacing w:before="90"/>
              <w:ind w:left="16"/>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34"/>
              <w:jc w:val="center"/>
              <w:rPr>
                <w:sz w:val="20"/>
              </w:rPr>
            </w:pPr>
            <w:r>
              <w:rPr>
                <w:w w:val="95"/>
                <w:sz w:val="20"/>
              </w:rPr>
              <w:t>Indeks </w:t>
            </w:r>
            <w:r>
              <w:rPr>
                <w:sz w:val="20"/>
              </w:rPr>
              <w:t>5/4</w:t>
            </w:r>
          </w:p>
          <w:p>
            <w:pPr>
              <w:pStyle w:val="TableParagraph"/>
              <w:spacing w:before="89"/>
              <w:ind w:left="30"/>
              <w:jc w:val="center"/>
              <w:rPr>
                <w:sz w:val="18"/>
              </w:rPr>
            </w:pPr>
            <w:r>
              <w:rPr>
                <w:w w:val="100"/>
                <w:sz w:val="18"/>
              </w:rPr>
              <w:t>6</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3523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Subvencije poljoprivrednicima, obrtnicima, malim i srednjim poduzetnicima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49,11</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2,46%</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381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Tekuće donacije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3811</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Tekuće donacije u novcu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505" w:hRule="atLeast"/>
        </w:trPr>
        <w:tc>
          <w:tcPr>
            <w:tcW w:w="1139"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3018</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8"/>
              <w:jc w:val="left"/>
              <w:rPr>
                <w:rFonts w:ascii="Verdana"/>
                <w:sz w:val="20"/>
              </w:rPr>
            </w:pPr>
            <w:r>
              <w:rPr>
                <w:rFonts w:ascii="Verdana"/>
                <w:w w:val="105"/>
                <w:sz w:val="20"/>
              </w:rPr>
              <w:t>PROGRAM UPRAVLJANJA IMOVINOM</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1"/>
              <w:rPr>
                <w:rFonts w:ascii="Verdana"/>
                <w:sz w:val="20"/>
              </w:rPr>
            </w:pPr>
            <w:r>
              <w:rPr>
                <w:rFonts w:ascii="Verdana"/>
                <w:sz w:val="20"/>
              </w:rPr>
              <w:t>230.000,00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3"/>
              <w:rPr>
                <w:rFonts w:ascii="Verdana"/>
                <w:sz w:val="20"/>
              </w:rPr>
            </w:pPr>
            <w:r>
              <w:rPr>
                <w:rFonts w:ascii="Verdana"/>
                <w:sz w:val="20"/>
              </w:rPr>
              <w:t>230.000,00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5"/>
              <w:rPr>
                <w:rFonts w:ascii="Verdana"/>
                <w:sz w:val="20"/>
              </w:rPr>
            </w:pPr>
            <w:r>
              <w:rPr>
                <w:rFonts w:ascii="Verdana"/>
                <w:sz w:val="20"/>
              </w:rPr>
              <w:t>1.974,58</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1"/>
              <w:rPr>
                <w:rFonts w:ascii="Verdana"/>
                <w:sz w:val="20"/>
              </w:rPr>
            </w:pPr>
            <w:r>
              <w:rPr>
                <w:rFonts w:ascii="Verdana"/>
                <w:sz w:val="20"/>
              </w:rPr>
              <w:t>0,86%</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2"/>
                <w:sz w:val="16"/>
              </w:rPr>
              <w:t> </w:t>
            </w:r>
            <w:r>
              <w:rPr>
                <w:rFonts w:ascii="Verdana"/>
                <w:sz w:val="16"/>
              </w:rPr>
              <w:t>K301812</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hAnsi="Verdana"/>
                <w:sz w:val="16"/>
              </w:rPr>
            </w:pPr>
            <w:r>
              <w:rPr>
                <w:rFonts w:ascii="Verdana" w:hAnsi="Verdana"/>
                <w:sz w:val="16"/>
              </w:rPr>
              <w:t>PROŠIRENJE DJEČJEG VRTIĆA ZVONČIĆ</w:t>
            </w:r>
          </w:p>
          <w:p>
            <w:pPr>
              <w:pStyle w:val="TableParagraph"/>
              <w:spacing w:before="45"/>
              <w:ind w:left="78"/>
              <w:jc w:val="left"/>
              <w:rPr>
                <w:sz w:val="14"/>
              </w:rPr>
            </w:pPr>
            <w:r>
              <w:rPr>
                <w:sz w:val="14"/>
              </w:rPr>
              <w:t>Funkcija: 0911 Predškolsko obrazovanje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105.000,00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5"/>
              <w:jc w:val="left"/>
              <w:rPr>
                <w:rFonts w:ascii="Verdana"/>
                <w:sz w:val="16"/>
              </w:rPr>
            </w:pPr>
            <w:r>
              <w:rPr>
                <w:rFonts w:ascii="Verdana"/>
                <w:sz w:val="16"/>
              </w:rPr>
              <w:t>105.000,00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right="58"/>
              <w:rPr>
                <w:rFonts w:ascii="Verdana"/>
                <w:sz w:val="16"/>
              </w:rPr>
            </w:pPr>
            <w:r>
              <w:rPr>
                <w:rFonts w:ascii="Verdana"/>
                <w:sz w:val="16"/>
              </w:rPr>
              <w:t>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7"/>
              <w:jc w:val="left"/>
              <w:rPr>
                <w:rFonts w:ascii="Verdana"/>
                <w:sz w:val="16"/>
              </w:rPr>
            </w:pPr>
            <w:r>
              <w:rPr>
                <w:rFonts w:ascii="Verdana"/>
                <w:sz w:val="16"/>
              </w:rPr>
              <w:t>0,00%</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426</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6"/>
              <w:jc w:val="left"/>
              <w:rPr>
                <w:sz w:val="16"/>
              </w:rPr>
            </w:pPr>
            <w:r>
              <w:rPr>
                <w:sz w:val="16"/>
              </w:rPr>
              <w:t>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4"/>
              <w:rPr>
                <w:sz w:val="16"/>
              </w:rPr>
            </w:pPr>
            <w:r>
              <w:rPr>
                <w:sz w:val="16"/>
              </w:rPr>
              <w:t>105.000,00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8"/>
              <w:rPr>
                <w:sz w:val="16"/>
              </w:rPr>
            </w:pPr>
            <w:r>
              <w:rPr>
                <w:sz w:val="16"/>
              </w:rPr>
              <w:t>105.000,00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4"/>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4264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Ostala 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105.000,00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105.000,00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22"/>
                <w:sz w:val="16"/>
              </w:rPr>
              <w:t> </w:t>
            </w:r>
            <w:r>
              <w:rPr>
                <w:rFonts w:ascii="Verdana"/>
                <w:sz w:val="16"/>
              </w:rPr>
              <w:t>T301810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hAnsi="Verdana"/>
                <w:sz w:val="16"/>
              </w:rPr>
            </w:pPr>
            <w:r>
              <w:rPr>
                <w:rFonts w:ascii="Verdana" w:hAnsi="Verdana"/>
                <w:w w:val="105"/>
                <w:sz w:val="16"/>
              </w:rPr>
              <w:t>INVESTICIJSKO ODRŽAVANJE STAMBENIH I POSLOVNIH OBJEKATA</w:t>
            </w:r>
          </w:p>
          <w:p>
            <w:pPr>
              <w:pStyle w:val="TableParagraph"/>
              <w:tabs>
                <w:tab w:pos="6004" w:val="left" w:leader="dot"/>
              </w:tabs>
              <w:spacing w:before="45"/>
              <w:ind w:left="78"/>
              <w:jc w:val="left"/>
              <w:rPr>
                <w:sz w:val="14"/>
              </w:rPr>
            </w:pPr>
            <w:r>
              <w:rPr>
                <w:sz w:val="14"/>
              </w:rPr>
              <w:t>Funkcija:</w:t>
            </w:r>
            <w:r>
              <w:rPr>
                <w:spacing w:val="-11"/>
                <w:sz w:val="14"/>
              </w:rPr>
              <w:t> </w:t>
            </w:r>
            <w:r>
              <w:rPr>
                <w:sz w:val="14"/>
              </w:rPr>
              <w:t>0621</w:t>
            </w:r>
            <w:r>
              <w:rPr>
                <w:spacing w:val="-11"/>
                <w:sz w:val="14"/>
              </w:rPr>
              <w:t> </w:t>
            </w:r>
            <w:r>
              <w:rPr>
                <w:sz w:val="14"/>
              </w:rPr>
              <w:t>Planiranje</w:t>
            </w:r>
            <w:r>
              <w:rPr>
                <w:spacing w:val="-10"/>
                <w:sz w:val="14"/>
              </w:rPr>
              <w:t> </w:t>
            </w:r>
            <w:r>
              <w:rPr>
                <w:sz w:val="14"/>
              </w:rPr>
              <w:t>poboljšanja</w:t>
            </w:r>
            <w:r>
              <w:rPr>
                <w:spacing w:val="-11"/>
                <w:sz w:val="14"/>
              </w:rPr>
              <w:t> </w:t>
            </w:r>
            <w:r>
              <w:rPr>
                <w:sz w:val="14"/>
              </w:rPr>
              <w:t>i</w:t>
            </w:r>
            <w:r>
              <w:rPr>
                <w:spacing w:val="-10"/>
                <w:sz w:val="14"/>
              </w:rPr>
              <w:t> </w:t>
            </w:r>
            <w:r>
              <w:rPr>
                <w:sz w:val="14"/>
              </w:rPr>
              <w:t>razvoja</w:t>
            </w:r>
            <w:r>
              <w:rPr>
                <w:spacing w:val="-11"/>
                <w:sz w:val="14"/>
              </w:rPr>
              <w:t> </w:t>
            </w:r>
            <w:r>
              <w:rPr>
                <w:sz w:val="14"/>
              </w:rPr>
              <w:t>objekata</w:t>
            </w:r>
            <w:r>
              <w:rPr>
                <w:spacing w:val="-10"/>
                <w:sz w:val="14"/>
              </w:rPr>
              <w:t> </w:t>
            </w:r>
            <w:r>
              <w:rPr>
                <w:sz w:val="14"/>
              </w:rPr>
              <w:t>(stambenih,</w:t>
            </w:r>
            <w:r>
              <w:rPr>
                <w:spacing w:val="-11"/>
                <w:sz w:val="14"/>
              </w:rPr>
              <w:t> </w:t>
            </w:r>
            <w:r>
              <w:rPr>
                <w:sz w:val="14"/>
              </w:rPr>
              <w:t>industrijskih,</w:t>
            </w:r>
            <w:r>
              <w:rPr>
                <w:spacing w:val="-10"/>
                <w:sz w:val="14"/>
              </w:rPr>
              <w:t> </w:t>
            </w:r>
            <w:r>
              <w:rPr>
                <w:sz w:val="14"/>
              </w:rPr>
              <w:t>komunalnih.</w:t>
              <w:tab/>
              <w:t>)</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125.000,00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5"/>
              <w:jc w:val="left"/>
              <w:rPr>
                <w:rFonts w:ascii="Verdana"/>
                <w:sz w:val="16"/>
              </w:rPr>
            </w:pPr>
            <w:r>
              <w:rPr>
                <w:rFonts w:ascii="Verdana"/>
                <w:sz w:val="16"/>
              </w:rPr>
              <w:t>125.000,00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1052"/>
              <w:jc w:val="left"/>
              <w:rPr>
                <w:rFonts w:ascii="Verdana"/>
                <w:sz w:val="16"/>
              </w:rPr>
            </w:pPr>
            <w:r>
              <w:rPr>
                <w:rFonts w:ascii="Verdana"/>
                <w:sz w:val="16"/>
              </w:rPr>
              <w:t>1.974,58</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7"/>
              <w:jc w:val="left"/>
              <w:rPr>
                <w:rFonts w:ascii="Verdana"/>
                <w:sz w:val="16"/>
              </w:rPr>
            </w:pPr>
            <w:r>
              <w:rPr>
                <w:rFonts w:ascii="Verdana"/>
                <w:sz w:val="16"/>
              </w:rPr>
              <w:t>1,58%</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ind w:left="11"/>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ind w:left="12"/>
              <w:jc w:val="center"/>
              <w:rPr>
                <w:sz w:val="14"/>
              </w:rPr>
            </w:pPr>
            <w:r>
              <w:rPr>
                <w:w w:val="100"/>
                <w:sz w:val="14"/>
              </w:rPr>
              <w:t>3</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1.974,58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1,58%</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125.000,00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1.974,58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1,58%</w:t>
            </w:r>
          </w:p>
        </w:tc>
      </w:tr>
      <w:tr>
        <w:trPr>
          <w:trHeight w:val="503" w:hRule="atLeast"/>
        </w:trPr>
        <w:tc>
          <w:tcPr>
            <w:tcW w:w="1139"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3019</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8"/>
              <w:jc w:val="left"/>
              <w:rPr>
                <w:rFonts w:ascii="Verdana"/>
                <w:sz w:val="20"/>
              </w:rPr>
            </w:pPr>
            <w:r>
              <w:rPr>
                <w:rFonts w:ascii="Verdana"/>
                <w:sz w:val="20"/>
              </w:rPr>
              <w:t>IZRADA PLANSKE DOKUMENTACIJE</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1"/>
              <w:rPr>
                <w:rFonts w:ascii="Verdana"/>
                <w:sz w:val="20"/>
              </w:rPr>
            </w:pPr>
            <w:r>
              <w:rPr>
                <w:rFonts w:ascii="Verdana"/>
                <w:sz w:val="20"/>
              </w:rPr>
              <w:t>18.000,00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3"/>
              <w:rPr>
                <w:rFonts w:ascii="Verdana"/>
                <w:sz w:val="20"/>
              </w:rPr>
            </w:pPr>
            <w:r>
              <w:rPr>
                <w:rFonts w:ascii="Verdana"/>
                <w:sz w:val="20"/>
              </w:rPr>
              <w:t>18.000,00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0"/>
              <w:rPr>
                <w:rFonts w:ascii="Verdana"/>
                <w:sz w:val="20"/>
              </w:rPr>
            </w:pPr>
            <w:r>
              <w:rPr>
                <w:rFonts w:ascii="Verdana"/>
                <w:sz w:val="20"/>
              </w:rPr>
              <w:t>0,00</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1"/>
              <w:rPr>
                <w:rFonts w:ascii="Verdana"/>
                <w:sz w:val="20"/>
              </w:rPr>
            </w:pPr>
            <w:r>
              <w:rPr>
                <w:rFonts w:ascii="Verdana"/>
                <w:sz w:val="20"/>
              </w:rPr>
              <w:t>0,00%</w:t>
            </w:r>
          </w:p>
        </w:tc>
      </w:tr>
      <w:tr>
        <w:trPr>
          <w:trHeight w:val="232"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A301910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hAnsi="Verdana"/>
                <w:sz w:val="16"/>
              </w:rPr>
            </w:pPr>
            <w:r>
              <w:rPr>
                <w:rFonts w:ascii="Verdana" w:hAnsi="Verdana"/>
                <w:sz w:val="16"/>
              </w:rPr>
              <w:t>IZRADA STRATEŠKIH DOKUMENATA</w:t>
            </w:r>
          </w:p>
          <w:p>
            <w:pPr>
              <w:pStyle w:val="TableParagraph"/>
              <w:spacing w:before="45"/>
              <w:ind w:left="78"/>
              <w:jc w:val="left"/>
              <w:rPr>
                <w:sz w:val="14"/>
              </w:rPr>
            </w:pPr>
            <w:r>
              <w:rPr>
                <w:sz w:val="14"/>
              </w:rPr>
              <w:t>Funkcija: 0620 Razvoj zajednice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60"/>
              <w:jc w:val="left"/>
              <w:rPr>
                <w:rFonts w:ascii="Verdana"/>
                <w:sz w:val="16"/>
              </w:rPr>
            </w:pPr>
            <w:r>
              <w:rPr>
                <w:rFonts w:ascii="Verdana"/>
                <w:sz w:val="16"/>
              </w:rPr>
              <w:t>18.000,00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18.000,00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right="58"/>
              <w:rPr>
                <w:rFonts w:ascii="Verdana"/>
                <w:sz w:val="16"/>
              </w:rPr>
            </w:pPr>
            <w:r>
              <w:rPr>
                <w:rFonts w:ascii="Verdana"/>
                <w:sz w:val="16"/>
              </w:rPr>
              <w:t>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7"/>
              <w:jc w:val="left"/>
              <w:rPr>
                <w:rFonts w:ascii="Verdana"/>
                <w:sz w:val="16"/>
              </w:rPr>
            </w:pPr>
            <w:r>
              <w:rPr>
                <w:rFonts w:ascii="Verdana"/>
                <w:sz w:val="16"/>
              </w:rPr>
              <w:t>0,00%</w:t>
            </w:r>
          </w:p>
        </w:tc>
      </w:tr>
      <w:tr>
        <w:trPr>
          <w:trHeight w:val="179"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2"/>
              <w:ind w:left="11"/>
              <w:jc w:val="center"/>
              <w:rPr>
                <w:sz w:val="14"/>
              </w:rPr>
            </w:pPr>
            <w:r>
              <w:rPr>
                <w:sz w:val="14"/>
              </w:rPr>
              <w:t>Izv.</w:t>
            </w:r>
          </w:p>
        </w:tc>
        <w:tc>
          <w:tcPr>
            <w:tcW w:w="112" w:type="dxa"/>
            <w:tcBorders>
              <w:top w:val="single" w:sz="12" w:space="0" w:color="000000"/>
              <w:left w:val="single" w:sz="12" w:space="0" w:color="000000"/>
              <w:bottom w:val="single" w:sz="12" w:space="0" w:color="000000"/>
              <w:right w:val="single" w:sz="8" w:space="0" w:color="000000"/>
            </w:tcBorders>
            <w:shd w:val="clear" w:color="auto" w:fill="C0C0C0"/>
          </w:tcPr>
          <w:p>
            <w:pPr>
              <w:pStyle w:val="TableParagraph"/>
              <w:spacing w:line="160" w:lineRule="exact" w:before="0"/>
              <w:ind w:left="8"/>
              <w:jc w:val="left"/>
              <w:rPr>
                <w:sz w:val="14"/>
              </w:rPr>
            </w:pPr>
            <w:r>
              <w:rPr>
                <w:w w:val="100"/>
                <w:sz w:val="14"/>
              </w:rPr>
              <w:t>1</w:t>
            </w: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12"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12"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12"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323</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6"/>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6"/>
              <w:rPr>
                <w:sz w:val="16"/>
              </w:rPr>
            </w:pPr>
            <w:r>
              <w:rPr>
                <w:sz w:val="16"/>
              </w:rPr>
              <w:t>18.000,00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8"/>
              <w:rPr>
                <w:sz w:val="16"/>
              </w:rPr>
            </w:pPr>
            <w:r>
              <w:rPr>
                <w:sz w:val="16"/>
              </w:rPr>
              <w:t>18.000,00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4"/>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3237</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18.000,00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18.000,00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505" w:hRule="atLeast"/>
        </w:trPr>
        <w:tc>
          <w:tcPr>
            <w:tcW w:w="1139" w:type="dxa"/>
            <w:gridSpan w:val="8"/>
            <w:tcBorders>
              <w:top w:val="single" w:sz="8" w:space="0" w:color="000000"/>
              <w:left w:val="nil"/>
              <w:bottom w:val="single" w:sz="8" w:space="0" w:color="000000"/>
              <w:right w:val="single" w:sz="2" w:space="0" w:color="000000"/>
            </w:tcBorders>
            <w:shd w:val="clear" w:color="auto" w:fill="656599"/>
          </w:tcPr>
          <w:p>
            <w:pPr>
              <w:pStyle w:val="TableParagraph"/>
              <w:spacing w:before="9"/>
              <w:ind w:left="27"/>
              <w:jc w:val="left"/>
              <w:rPr>
                <w:rFonts w:ascii="Verdana"/>
                <w:sz w:val="16"/>
              </w:rPr>
            </w:pPr>
            <w:r>
              <w:rPr>
                <w:rFonts w:ascii="Verdana"/>
                <w:sz w:val="16"/>
              </w:rPr>
              <w:t>RAZDJEL</w:t>
            </w:r>
          </w:p>
          <w:p>
            <w:pPr>
              <w:pStyle w:val="TableParagraph"/>
              <w:spacing w:line="193" w:lineRule="exact" w:before="89"/>
              <w:ind w:right="7"/>
              <w:rPr>
                <w:rFonts w:ascii="Verdana"/>
                <w:sz w:val="16"/>
              </w:rPr>
            </w:pPr>
            <w:r>
              <w:rPr>
                <w:rFonts w:ascii="Verdana"/>
                <w:sz w:val="16"/>
              </w:rPr>
              <w:t>004</w:t>
            </w:r>
          </w:p>
        </w:tc>
        <w:tc>
          <w:tcPr>
            <w:tcW w:w="7778"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left="78"/>
              <w:jc w:val="left"/>
              <w:rPr>
                <w:rFonts w:ascii="Verdana"/>
                <w:sz w:val="20"/>
              </w:rPr>
            </w:pPr>
            <w:r>
              <w:rPr>
                <w:rFonts w:ascii="Verdana"/>
                <w:sz w:val="20"/>
              </w:rPr>
              <w:t>UPRAVNI ODJEL ZA URBANIZAM I KOMUNALNE POSLOVE</w:t>
            </w:r>
          </w:p>
        </w:tc>
        <w:tc>
          <w:tcPr>
            <w:tcW w:w="1833"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3"/>
              <w:rPr>
                <w:rFonts w:ascii="Verdana"/>
                <w:sz w:val="20"/>
              </w:rPr>
            </w:pPr>
            <w:r>
              <w:rPr>
                <w:rFonts w:ascii="Verdana"/>
                <w:sz w:val="20"/>
              </w:rPr>
              <w:t>10.354.000,00</w:t>
            </w:r>
          </w:p>
        </w:tc>
        <w:tc>
          <w:tcPr>
            <w:tcW w:w="1831"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8"/>
              <w:rPr>
                <w:rFonts w:ascii="Verdana"/>
                <w:sz w:val="20"/>
              </w:rPr>
            </w:pPr>
            <w:r>
              <w:rPr>
                <w:rFonts w:ascii="Verdana"/>
                <w:sz w:val="20"/>
              </w:rPr>
              <w:t>10.354.000,00</w:t>
            </w:r>
          </w:p>
        </w:tc>
        <w:tc>
          <w:tcPr>
            <w:tcW w:w="1831" w:type="dxa"/>
            <w:tcBorders>
              <w:top w:val="single" w:sz="8" w:space="0" w:color="000000"/>
              <w:left w:val="single" w:sz="2" w:space="0" w:color="000000"/>
              <w:bottom w:val="single" w:sz="8" w:space="0" w:color="000000"/>
              <w:right w:val="single" w:sz="2" w:space="0" w:color="000000"/>
            </w:tcBorders>
            <w:shd w:val="clear" w:color="auto" w:fill="656599"/>
          </w:tcPr>
          <w:p>
            <w:pPr>
              <w:pStyle w:val="TableParagraph"/>
              <w:spacing w:before="7"/>
              <w:ind w:right="79"/>
              <w:rPr>
                <w:rFonts w:ascii="Verdana"/>
                <w:sz w:val="20"/>
              </w:rPr>
            </w:pPr>
            <w:r>
              <w:rPr>
                <w:rFonts w:ascii="Verdana"/>
                <w:sz w:val="20"/>
              </w:rPr>
              <w:t>1.742.356,03</w:t>
            </w:r>
          </w:p>
        </w:tc>
        <w:tc>
          <w:tcPr>
            <w:tcW w:w="1105" w:type="dxa"/>
            <w:tcBorders>
              <w:top w:val="single" w:sz="8" w:space="0" w:color="000000"/>
              <w:left w:val="single" w:sz="2" w:space="0" w:color="000000"/>
              <w:bottom w:val="single" w:sz="8" w:space="0" w:color="000000"/>
              <w:right w:val="nil"/>
            </w:tcBorders>
            <w:shd w:val="clear" w:color="auto" w:fill="656599"/>
          </w:tcPr>
          <w:p>
            <w:pPr>
              <w:pStyle w:val="TableParagraph"/>
              <w:spacing w:before="7"/>
              <w:ind w:right="61"/>
              <w:rPr>
                <w:rFonts w:ascii="Verdana"/>
                <w:sz w:val="20"/>
              </w:rPr>
            </w:pPr>
            <w:r>
              <w:rPr>
                <w:rFonts w:ascii="Verdana"/>
                <w:sz w:val="20"/>
              </w:rPr>
              <w:t>16,83%</w:t>
            </w:r>
          </w:p>
        </w:tc>
      </w:tr>
      <w:tr>
        <w:trPr>
          <w:trHeight w:val="505" w:hRule="atLeast"/>
        </w:trPr>
        <w:tc>
          <w:tcPr>
            <w:tcW w:w="1139" w:type="dxa"/>
            <w:gridSpan w:val="8"/>
            <w:tcBorders>
              <w:top w:val="single" w:sz="8" w:space="0" w:color="000000"/>
              <w:left w:val="nil"/>
              <w:bottom w:val="single" w:sz="8" w:space="0" w:color="000000"/>
              <w:right w:val="single" w:sz="2" w:space="0" w:color="000000"/>
            </w:tcBorders>
            <w:shd w:val="clear" w:color="auto" w:fill="C4D6DF"/>
          </w:tcPr>
          <w:p>
            <w:pPr>
              <w:pStyle w:val="TableParagraph"/>
              <w:spacing w:before="9"/>
              <w:ind w:left="27"/>
              <w:jc w:val="left"/>
              <w:rPr>
                <w:rFonts w:ascii="Verdana"/>
                <w:sz w:val="16"/>
              </w:rPr>
            </w:pPr>
            <w:r>
              <w:rPr>
                <w:rFonts w:ascii="Verdana"/>
                <w:sz w:val="16"/>
              </w:rPr>
              <w:t>GLAVA</w:t>
            </w:r>
          </w:p>
          <w:p>
            <w:pPr>
              <w:pStyle w:val="TableParagraph"/>
              <w:spacing w:before="31"/>
              <w:ind w:left="617"/>
              <w:jc w:val="left"/>
              <w:rPr>
                <w:rFonts w:ascii="Verdana"/>
                <w:sz w:val="16"/>
              </w:rPr>
            </w:pPr>
            <w:r>
              <w:rPr>
                <w:rFonts w:ascii="Verdana"/>
                <w:sz w:val="16"/>
              </w:rPr>
              <w:t>00401</w:t>
            </w:r>
          </w:p>
        </w:tc>
        <w:tc>
          <w:tcPr>
            <w:tcW w:w="7778"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left="78"/>
              <w:jc w:val="left"/>
              <w:rPr>
                <w:rFonts w:ascii="Verdana"/>
                <w:sz w:val="20"/>
              </w:rPr>
            </w:pPr>
            <w:r>
              <w:rPr>
                <w:rFonts w:ascii="Verdana"/>
                <w:sz w:val="20"/>
              </w:rPr>
              <w:t>UO ZA URBANIZAM I KOMUNALNE DJELATNOSTI</w:t>
            </w:r>
          </w:p>
        </w:tc>
        <w:tc>
          <w:tcPr>
            <w:tcW w:w="1833"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3"/>
              <w:rPr>
                <w:rFonts w:ascii="Verdana"/>
                <w:sz w:val="20"/>
              </w:rPr>
            </w:pPr>
            <w:r>
              <w:rPr>
                <w:rFonts w:ascii="Verdana"/>
                <w:sz w:val="20"/>
              </w:rPr>
              <w:t>10.354.000,00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8"/>
              <w:rPr>
                <w:rFonts w:ascii="Verdana"/>
                <w:sz w:val="20"/>
              </w:rPr>
            </w:pPr>
            <w:r>
              <w:rPr>
                <w:rFonts w:ascii="Verdana"/>
                <w:sz w:val="20"/>
              </w:rPr>
              <w:t>10.354.000,00</w:t>
            </w:r>
          </w:p>
        </w:tc>
        <w:tc>
          <w:tcPr>
            <w:tcW w:w="1831" w:type="dxa"/>
            <w:tcBorders>
              <w:top w:val="single" w:sz="8" w:space="0" w:color="000000"/>
              <w:left w:val="single" w:sz="2" w:space="0" w:color="000000"/>
              <w:bottom w:val="single" w:sz="8" w:space="0" w:color="000000"/>
              <w:right w:val="single" w:sz="2" w:space="0" w:color="000000"/>
            </w:tcBorders>
            <w:shd w:val="clear" w:color="auto" w:fill="C4D6DF"/>
          </w:tcPr>
          <w:p>
            <w:pPr>
              <w:pStyle w:val="TableParagraph"/>
              <w:spacing w:before="7"/>
              <w:ind w:right="79"/>
              <w:rPr>
                <w:rFonts w:ascii="Verdana"/>
                <w:sz w:val="20"/>
              </w:rPr>
            </w:pPr>
            <w:r>
              <w:rPr>
                <w:rFonts w:ascii="Verdana"/>
                <w:sz w:val="20"/>
              </w:rPr>
              <w:t>1.742.356,03</w:t>
            </w:r>
          </w:p>
        </w:tc>
        <w:tc>
          <w:tcPr>
            <w:tcW w:w="1105" w:type="dxa"/>
            <w:tcBorders>
              <w:top w:val="single" w:sz="8" w:space="0" w:color="000000"/>
              <w:left w:val="single" w:sz="2" w:space="0" w:color="000000"/>
              <w:bottom w:val="single" w:sz="8" w:space="0" w:color="000000"/>
              <w:right w:val="nil"/>
            </w:tcBorders>
            <w:shd w:val="clear" w:color="auto" w:fill="C4D6DF"/>
          </w:tcPr>
          <w:p>
            <w:pPr>
              <w:pStyle w:val="TableParagraph"/>
              <w:spacing w:before="7"/>
              <w:ind w:right="61"/>
              <w:rPr>
                <w:rFonts w:ascii="Verdana"/>
                <w:sz w:val="20"/>
              </w:rPr>
            </w:pPr>
            <w:r>
              <w:rPr>
                <w:rFonts w:ascii="Verdana"/>
                <w:sz w:val="20"/>
              </w:rPr>
              <w:t>16,83%</w:t>
            </w:r>
          </w:p>
        </w:tc>
      </w:tr>
      <w:tr>
        <w:trPr>
          <w:trHeight w:val="503" w:hRule="atLeast"/>
        </w:trPr>
        <w:tc>
          <w:tcPr>
            <w:tcW w:w="1139"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4011</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8"/>
              <w:jc w:val="left"/>
              <w:rPr>
                <w:rFonts w:ascii="Verdana"/>
                <w:sz w:val="20"/>
              </w:rPr>
            </w:pPr>
            <w:r>
              <w:rPr>
                <w:rFonts w:ascii="Verdana"/>
                <w:sz w:val="20"/>
              </w:rPr>
              <w:t>PROGRAM IZGRADNJE KOMUNALNE INFRASTRUKTURE</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3"/>
              <w:rPr>
                <w:rFonts w:ascii="Verdana"/>
                <w:sz w:val="20"/>
              </w:rPr>
            </w:pPr>
            <w:r>
              <w:rPr>
                <w:rFonts w:ascii="Verdana"/>
                <w:sz w:val="20"/>
              </w:rPr>
              <w:t>6.769.000,00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5"/>
              <w:rPr>
                <w:rFonts w:ascii="Verdana"/>
                <w:sz w:val="20"/>
              </w:rPr>
            </w:pPr>
            <w:r>
              <w:rPr>
                <w:rFonts w:ascii="Verdana"/>
                <w:sz w:val="20"/>
              </w:rPr>
              <w:t>6.769.000,00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7"/>
              <w:rPr>
                <w:rFonts w:ascii="Verdana"/>
                <w:sz w:val="20"/>
              </w:rPr>
            </w:pPr>
            <w:r>
              <w:rPr>
                <w:rFonts w:ascii="Verdana"/>
                <w:sz w:val="20"/>
              </w:rPr>
              <w:t>503.157,54</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1"/>
              <w:rPr>
                <w:rFonts w:ascii="Verdana"/>
                <w:sz w:val="20"/>
              </w:rPr>
            </w:pPr>
            <w:r>
              <w:rPr>
                <w:rFonts w:ascii="Verdana"/>
                <w:sz w:val="20"/>
              </w:rPr>
              <w:t>7,43%</w:t>
            </w:r>
          </w:p>
        </w:tc>
      </w:tr>
      <w:tr>
        <w:trPr>
          <w:trHeight w:val="232"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2"/>
                <w:sz w:val="16"/>
              </w:rPr>
              <w:t> </w:t>
            </w:r>
            <w:r>
              <w:rPr>
                <w:rFonts w:ascii="Verdana"/>
                <w:sz w:val="16"/>
              </w:rPr>
              <w:t>K401111</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9"/>
              <w:jc w:val="left"/>
              <w:rPr>
                <w:rFonts w:ascii="Verdana" w:hAnsi="Verdana"/>
                <w:sz w:val="16"/>
              </w:rPr>
            </w:pPr>
            <w:r>
              <w:rPr>
                <w:rFonts w:ascii="Verdana" w:hAnsi="Verdana"/>
                <w:sz w:val="16"/>
              </w:rPr>
              <w:t>PROJEKT IZGRADNJE PODUZETNIČKE ZONE LUG</w:t>
            </w:r>
          </w:p>
          <w:p>
            <w:pPr>
              <w:pStyle w:val="TableParagraph"/>
              <w:spacing w:before="45"/>
              <w:ind w:left="78"/>
              <w:jc w:val="left"/>
              <w:rPr>
                <w:sz w:val="14"/>
              </w:rPr>
            </w:pPr>
            <w:r>
              <w:rPr>
                <w:sz w:val="14"/>
              </w:rPr>
              <w:t>Funkcija: 0451 Cestovni promet</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714.000,00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5"/>
              <w:jc w:val="left"/>
              <w:rPr>
                <w:rFonts w:ascii="Verdana"/>
                <w:sz w:val="16"/>
              </w:rPr>
            </w:pPr>
            <w:r>
              <w:rPr>
                <w:rFonts w:ascii="Verdana"/>
                <w:sz w:val="16"/>
              </w:rPr>
              <w:t>714.000,00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right="58"/>
              <w:rPr>
                <w:rFonts w:ascii="Verdana"/>
                <w:sz w:val="16"/>
              </w:rPr>
            </w:pPr>
            <w:r>
              <w:rPr>
                <w:rFonts w:ascii="Verdana"/>
                <w:sz w:val="16"/>
              </w:rPr>
              <w:t>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7"/>
              <w:jc w:val="left"/>
              <w:rPr>
                <w:rFonts w:ascii="Verdana"/>
                <w:sz w:val="16"/>
              </w:rPr>
            </w:pPr>
            <w:r>
              <w:rPr>
                <w:rFonts w:ascii="Verdana"/>
                <w:sz w:val="16"/>
              </w:rPr>
              <w:t>0,00%</w:t>
            </w:r>
          </w:p>
        </w:tc>
      </w:tr>
      <w:tr>
        <w:trPr>
          <w:trHeight w:val="179"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2"/>
              <w:ind w:left="11"/>
              <w:jc w:val="center"/>
              <w:rPr>
                <w:sz w:val="14"/>
              </w:rPr>
            </w:pPr>
            <w:r>
              <w:rPr>
                <w:sz w:val="14"/>
              </w:rPr>
              <w:t>Izv.</w:t>
            </w:r>
          </w:p>
        </w:tc>
        <w:tc>
          <w:tcPr>
            <w:tcW w:w="112" w:type="dxa"/>
            <w:tcBorders>
              <w:top w:val="single" w:sz="12" w:space="0" w:color="000000"/>
              <w:left w:val="single" w:sz="12" w:space="0" w:color="000000"/>
              <w:bottom w:val="single" w:sz="12" w:space="0" w:color="000000"/>
              <w:right w:val="single" w:sz="8" w:space="0" w:color="000000"/>
            </w:tcBorders>
            <w:shd w:val="clear" w:color="auto" w:fill="C0C0C0"/>
          </w:tcPr>
          <w:p>
            <w:pPr>
              <w:pStyle w:val="TableParagraph"/>
              <w:spacing w:line="160" w:lineRule="exact" w:before="0"/>
              <w:ind w:left="8"/>
              <w:jc w:val="left"/>
              <w:rPr>
                <w:sz w:val="14"/>
              </w:rPr>
            </w:pPr>
            <w:r>
              <w:rPr>
                <w:w w:val="100"/>
                <w:sz w:val="14"/>
              </w:rPr>
              <w:t>1</w:t>
            </w: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line="160" w:lineRule="exact" w:before="0"/>
              <w:ind w:left="12"/>
              <w:jc w:val="center"/>
              <w:rPr>
                <w:sz w:val="14"/>
              </w:rPr>
            </w:pPr>
            <w:r>
              <w:rPr>
                <w:w w:val="100"/>
                <w:sz w:val="14"/>
              </w:rPr>
              <w:t>3</w:t>
            </w:r>
          </w:p>
        </w:tc>
        <w:tc>
          <w:tcPr>
            <w:tcW w:w="113" w:type="dxa"/>
            <w:tcBorders>
              <w:top w:val="single" w:sz="12" w:space="0" w:color="000000"/>
              <w:left w:val="single" w:sz="8" w:space="0" w:color="000000"/>
              <w:bottom w:val="single" w:sz="12" w:space="0" w:color="000000"/>
              <w:right w:val="single" w:sz="8" w:space="0" w:color="000000"/>
            </w:tcBorders>
            <w:shd w:val="clear" w:color="auto" w:fill="C0C0C0"/>
          </w:tcPr>
          <w:p>
            <w:pPr>
              <w:pStyle w:val="TableParagraph"/>
              <w:spacing w:line="160" w:lineRule="exact" w:before="0"/>
              <w:ind w:left="14"/>
              <w:jc w:val="left"/>
              <w:rPr>
                <w:sz w:val="14"/>
              </w:rPr>
            </w:pPr>
            <w:r>
              <w:rPr>
                <w:w w:val="100"/>
                <w:sz w:val="14"/>
              </w:rPr>
              <w:t>4</w:t>
            </w:r>
          </w:p>
        </w:tc>
        <w:tc>
          <w:tcPr>
            <w:tcW w:w="115" w:type="dxa"/>
            <w:tcBorders>
              <w:top w:val="single" w:sz="12"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12"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12"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421</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6"/>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4"/>
              <w:rPr>
                <w:sz w:val="16"/>
              </w:rPr>
            </w:pPr>
            <w:r>
              <w:rPr>
                <w:sz w:val="16"/>
              </w:rPr>
              <w:t>714.000,00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8"/>
              <w:rPr>
                <w:sz w:val="16"/>
              </w:rPr>
            </w:pPr>
            <w:r>
              <w:rPr>
                <w:sz w:val="16"/>
              </w:rPr>
              <w:t>714.000,00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4"/>
              <w:rPr>
                <w:sz w:val="16"/>
              </w:rPr>
            </w:pPr>
            <w:r>
              <w:rPr>
                <w:sz w:val="16"/>
              </w:rPr>
              <w:t>0,00%</w:t>
            </w:r>
          </w:p>
        </w:tc>
      </w:tr>
      <w:tr>
        <w:trPr>
          <w:trHeight w:val="282" w:hRule="atLeast"/>
        </w:trPr>
        <w:tc>
          <w:tcPr>
            <w:tcW w:w="738" w:type="dxa"/>
            <w:gridSpan w:val="5"/>
            <w:tcBorders>
              <w:top w:val="single" w:sz="8" w:space="0" w:color="000000"/>
              <w:left w:val="nil"/>
              <w:bottom w:val="nil"/>
              <w:right w:val="single" w:sz="2" w:space="0" w:color="000000"/>
            </w:tcBorders>
          </w:tcPr>
          <w:p>
            <w:pPr>
              <w:pStyle w:val="TableParagraph"/>
              <w:ind w:left="368"/>
              <w:jc w:val="left"/>
              <w:rPr>
                <w:sz w:val="16"/>
              </w:rPr>
            </w:pPr>
            <w:r>
              <w:rPr>
                <w:sz w:val="16"/>
              </w:rPr>
              <w:t>4213</w:t>
            </w:r>
          </w:p>
        </w:tc>
        <w:tc>
          <w:tcPr>
            <w:tcW w:w="401" w:type="dxa"/>
            <w:gridSpan w:val="3"/>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6"/>
              <w:jc w:val="left"/>
              <w:rPr>
                <w:sz w:val="16"/>
              </w:rPr>
            </w:pPr>
            <w:r>
              <w:rPr>
                <w:sz w:val="16"/>
              </w:rPr>
              <w:t>Ceste, željeznice i slični građevinski objekti</w:t>
            </w:r>
          </w:p>
        </w:tc>
        <w:tc>
          <w:tcPr>
            <w:tcW w:w="1833" w:type="dxa"/>
            <w:tcBorders>
              <w:top w:val="single" w:sz="8" w:space="0" w:color="000000"/>
              <w:left w:val="single" w:sz="2" w:space="0" w:color="000000"/>
              <w:bottom w:val="nil"/>
              <w:right w:val="single" w:sz="2" w:space="0" w:color="000000"/>
            </w:tcBorders>
          </w:tcPr>
          <w:p>
            <w:pPr>
              <w:pStyle w:val="TableParagraph"/>
              <w:ind w:right="54"/>
              <w:rPr>
                <w:sz w:val="16"/>
              </w:rPr>
            </w:pPr>
            <w:r>
              <w:rPr>
                <w:sz w:val="16"/>
              </w:rPr>
              <w:t>714.000,00</w:t>
            </w:r>
          </w:p>
        </w:tc>
        <w:tc>
          <w:tcPr>
            <w:tcW w:w="1831" w:type="dxa"/>
            <w:tcBorders>
              <w:top w:val="single" w:sz="8" w:space="0" w:color="000000"/>
              <w:left w:val="single" w:sz="2" w:space="0" w:color="000000"/>
              <w:bottom w:val="nil"/>
              <w:right w:val="single" w:sz="2" w:space="0" w:color="000000"/>
            </w:tcBorders>
          </w:tcPr>
          <w:p>
            <w:pPr>
              <w:pStyle w:val="TableParagraph"/>
              <w:ind w:right="58"/>
              <w:rPr>
                <w:sz w:val="16"/>
              </w:rPr>
            </w:pPr>
            <w:r>
              <w:rPr>
                <w:sz w:val="16"/>
              </w:rPr>
              <w:t>714.000,00</w:t>
            </w:r>
          </w:p>
        </w:tc>
        <w:tc>
          <w:tcPr>
            <w:tcW w:w="1831" w:type="dxa"/>
            <w:tcBorders>
              <w:top w:val="single" w:sz="8" w:space="0" w:color="000000"/>
              <w:left w:val="single" w:sz="2" w:space="0" w:color="000000"/>
              <w:bottom w:val="nil"/>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nil"/>
              <w:right w:val="nil"/>
            </w:tcBorders>
          </w:tcPr>
          <w:p>
            <w:pPr>
              <w:pStyle w:val="TableParagraph"/>
              <w:ind w:right="54"/>
              <w:rPr>
                <w:sz w:val="16"/>
              </w:rPr>
            </w:pPr>
            <w:r>
              <w:rPr>
                <w:sz w:val="16"/>
              </w:rPr>
              <w:t>0,00%</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3"/>
        <w:gridCol w:w="114"/>
        <w:gridCol w:w="112"/>
        <w:gridCol w:w="174"/>
        <w:gridCol w:w="7778"/>
        <w:gridCol w:w="1833"/>
        <w:gridCol w:w="1831"/>
        <w:gridCol w:w="1831"/>
        <w:gridCol w:w="1105"/>
      </w:tblGrid>
      <w:tr>
        <w:trPr>
          <w:trHeight w:val="828" w:hRule="atLeast"/>
        </w:trPr>
        <w:tc>
          <w:tcPr>
            <w:tcW w:w="15516" w:type="dxa"/>
            <w:gridSpan w:val="13"/>
            <w:tcBorders>
              <w:left w:val="nil"/>
              <w:bottom w:val="single" w:sz="8" w:space="0" w:color="000000"/>
              <w:right w:val="nil"/>
            </w:tcBorders>
            <w:shd w:val="clear" w:color="auto" w:fill="C0C0C0"/>
          </w:tcPr>
          <w:p>
            <w:pPr>
              <w:pStyle w:val="TableParagraph"/>
              <w:spacing w:before="56"/>
              <w:ind w:left="1431" w:right="1462"/>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37" w:right="1429"/>
              <w:jc w:val="center"/>
              <w:rPr>
                <w:rFonts w:ascii="Times New Roman"/>
                <w:sz w:val="22"/>
              </w:rPr>
            </w:pPr>
            <w:r>
              <w:rPr>
                <w:rFonts w:ascii="Times New Roman"/>
                <w:sz w:val="22"/>
              </w:rPr>
              <w:t>POSEBNI DIO- PROGRAMSKA KLASIFIKACIJA</w:t>
            </w:r>
          </w:p>
        </w:tc>
      </w:tr>
      <w:tr>
        <w:trPr>
          <w:trHeight w:val="846" w:hRule="atLeast"/>
        </w:trPr>
        <w:tc>
          <w:tcPr>
            <w:tcW w:w="1138"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47" w:right="235" w:hanging="5"/>
              <w:jc w:val="center"/>
              <w:rPr>
                <w:sz w:val="20"/>
              </w:rPr>
            </w:pPr>
            <w:r>
              <w:rPr>
                <w:sz w:val="20"/>
              </w:rPr>
              <w:t>Račun/ </w:t>
            </w:r>
            <w:r>
              <w:rPr>
                <w:w w:val="95"/>
                <w:sz w:val="20"/>
              </w:rPr>
              <w:t>Pozicija</w:t>
            </w:r>
          </w:p>
          <w:p>
            <w:pPr>
              <w:pStyle w:val="TableParagraph"/>
              <w:spacing w:before="84"/>
              <w:ind w:left="158"/>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53" w:right="3672"/>
              <w:jc w:val="center"/>
              <w:rPr>
                <w:sz w:val="20"/>
              </w:rPr>
            </w:pPr>
            <w:r>
              <w:rPr>
                <w:sz w:val="20"/>
              </w:rPr>
              <w:t>Opis</w:t>
            </w:r>
          </w:p>
          <w:p>
            <w:pPr>
              <w:pStyle w:val="TableParagraph"/>
              <w:spacing w:before="4"/>
              <w:jc w:val="left"/>
              <w:rPr>
                <w:rFonts w:ascii="Times New Roman"/>
                <w:sz w:val="28"/>
              </w:rPr>
            </w:pPr>
          </w:p>
          <w:p>
            <w:pPr>
              <w:pStyle w:val="TableParagraph"/>
              <w:spacing w:before="0"/>
              <w:ind w:right="7"/>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8"/>
              <w:jc w:val="center"/>
              <w:rPr>
                <w:sz w:val="20"/>
              </w:rPr>
            </w:pPr>
            <w:r>
              <w:rPr>
                <w:sz w:val="20"/>
              </w:rPr>
              <w:t>Izvorni plan za 2014. godinu</w:t>
            </w:r>
          </w:p>
          <w:p>
            <w:pPr>
              <w:pStyle w:val="TableParagraph"/>
              <w:spacing w:before="89"/>
              <w:ind w:left="22"/>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80" w:right="131"/>
              <w:jc w:val="center"/>
              <w:rPr>
                <w:sz w:val="20"/>
              </w:rPr>
            </w:pPr>
            <w:r>
              <w:rPr>
                <w:sz w:val="20"/>
              </w:rPr>
              <w:t>Tekući plan za 2014. godinu</w:t>
            </w:r>
          </w:p>
          <w:p>
            <w:pPr>
              <w:pStyle w:val="TableParagraph"/>
              <w:spacing w:before="89"/>
              <w:ind w:left="11"/>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35" w:right="131"/>
              <w:jc w:val="center"/>
              <w:rPr>
                <w:sz w:val="20"/>
              </w:rPr>
            </w:pPr>
            <w:r>
              <w:rPr>
                <w:sz w:val="20"/>
              </w:rPr>
              <w:t>Izvršenje 01.01.-</w:t>
            </w:r>
          </w:p>
          <w:p>
            <w:pPr>
              <w:pStyle w:val="TableParagraph"/>
              <w:spacing w:line="241" w:lineRule="exact" w:before="0"/>
              <w:ind w:left="138" w:right="131"/>
              <w:jc w:val="center"/>
              <w:rPr>
                <w:sz w:val="20"/>
              </w:rPr>
            </w:pPr>
            <w:r>
              <w:rPr>
                <w:sz w:val="20"/>
              </w:rPr>
              <w:t>30.06.2014.</w:t>
            </w:r>
          </w:p>
          <w:p>
            <w:pPr>
              <w:pStyle w:val="TableParagraph"/>
              <w:spacing w:before="90"/>
              <w:ind w:left="6"/>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2" w:right="235"/>
              <w:jc w:val="center"/>
              <w:rPr>
                <w:sz w:val="20"/>
              </w:rPr>
            </w:pPr>
            <w:r>
              <w:rPr>
                <w:w w:val="95"/>
                <w:sz w:val="20"/>
              </w:rPr>
              <w:t>Indeks </w:t>
            </w:r>
            <w:r>
              <w:rPr>
                <w:sz w:val="20"/>
              </w:rPr>
              <w:t>5/4</w:t>
            </w:r>
          </w:p>
          <w:p>
            <w:pPr>
              <w:pStyle w:val="TableParagraph"/>
              <w:spacing w:before="89"/>
              <w:ind w:left="20"/>
              <w:jc w:val="center"/>
              <w:rPr>
                <w:sz w:val="18"/>
              </w:rPr>
            </w:pPr>
            <w:r>
              <w:rPr>
                <w:w w:val="100"/>
                <w:sz w:val="18"/>
              </w:rPr>
              <w:t>6</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2"/>
                <w:sz w:val="16"/>
              </w:rPr>
              <w:t> </w:t>
            </w:r>
            <w:r>
              <w:rPr>
                <w:rFonts w:ascii="Verdana"/>
                <w:sz w:val="16"/>
              </w:rPr>
              <w:t>K401112</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4"/>
              <w:jc w:val="left"/>
              <w:rPr>
                <w:rFonts w:ascii="Verdana" w:hAnsi="Verdana"/>
                <w:sz w:val="16"/>
              </w:rPr>
            </w:pPr>
            <w:r>
              <w:rPr>
                <w:rFonts w:ascii="Verdana" w:hAnsi="Verdana"/>
                <w:sz w:val="16"/>
              </w:rPr>
              <w:t>IZGRADNJA KANALIZACIJSKOG SUSTAVA (PROČISTAČA OTPADNIH VODA)</w:t>
            </w:r>
          </w:p>
          <w:p>
            <w:pPr>
              <w:pStyle w:val="TableParagraph"/>
              <w:spacing w:before="45"/>
              <w:ind w:left="73"/>
              <w:jc w:val="left"/>
              <w:rPr>
                <w:sz w:val="14"/>
              </w:rPr>
            </w:pPr>
            <w:r>
              <w:rPr>
                <w:sz w:val="14"/>
              </w:rPr>
              <w:t>Funkcija: 0520 Gospodarenje otpadnim vodama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03"/>
              <w:jc w:val="left"/>
              <w:rPr>
                <w:rFonts w:ascii="Verdana"/>
                <w:sz w:val="16"/>
              </w:rPr>
            </w:pPr>
            <w:r>
              <w:rPr>
                <w:rFonts w:ascii="Verdana"/>
                <w:sz w:val="16"/>
              </w:rPr>
              <w:t>5.525.000,00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698"/>
              <w:jc w:val="left"/>
              <w:rPr>
                <w:rFonts w:ascii="Verdana"/>
                <w:sz w:val="16"/>
              </w:rPr>
            </w:pPr>
            <w:r>
              <w:rPr>
                <w:rFonts w:ascii="Verdana"/>
                <w:sz w:val="16"/>
              </w:rPr>
              <w:t>5.525.000,00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right="63"/>
              <w:rPr>
                <w:rFonts w:ascii="Verdana"/>
                <w:sz w:val="16"/>
              </w:rPr>
            </w:pPr>
            <w:r>
              <w:rPr>
                <w:rFonts w:ascii="Verdana"/>
                <w:sz w:val="16"/>
              </w:rPr>
              <w:t>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2"/>
              <w:jc w:val="left"/>
              <w:rPr>
                <w:rFonts w:ascii="Verdana"/>
                <w:sz w:val="16"/>
              </w:rPr>
            </w:pPr>
            <w:r>
              <w:rPr>
                <w:rFonts w:ascii="Verdana"/>
                <w:sz w:val="16"/>
              </w:rPr>
              <w:t>0,00%</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2"/>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line="166" w:lineRule="exact" w:before="0"/>
              <w:ind w:left="7"/>
              <w:jc w:val="left"/>
              <w:rPr>
                <w:sz w:val="14"/>
              </w:rPr>
            </w:pPr>
            <w:r>
              <w:rPr>
                <w:w w:val="100"/>
                <w:sz w:val="14"/>
              </w:rPr>
              <w:t>7</w:t>
            </w: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1"/>
              <w:jc w:val="left"/>
              <w:rPr>
                <w:sz w:val="16"/>
              </w:rPr>
            </w:pPr>
            <w:r>
              <w:rPr>
                <w:sz w:val="16"/>
              </w:rPr>
              <w:t>323</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1"/>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9"/>
              <w:rPr>
                <w:sz w:val="16"/>
              </w:rPr>
            </w:pPr>
            <w:r>
              <w:rPr>
                <w:sz w:val="16"/>
              </w:rPr>
              <w:t>141.000,00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3"/>
              <w:rPr>
                <w:sz w:val="16"/>
              </w:rPr>
            </w:pPr>
            <w:r>
              <w:rPr>
                <w:sz w:val="16"/>
              </w:rPr>
              <w:t>141.000,00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9"/>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3237</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141.000,00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141.000,00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421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5.384.000,00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5.384.000,00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4214</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Ostali 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5.384.000,00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5.384.000,00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232"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2"/>
                <w:sz w:val="16"/>
              </w:rPr>
              <w:t> </w:t>
            </w:r>
            <w:r>
              <w:rPr>
                <w:rFonts w:ascii="Verdana"/>
                <w:sz w:val="16"/>
              </w:rPr>
              <w:t>K401117</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4"/>
              <w:jc w:val="left"/>
              <w:rPr>
                <w:rFonts w:ascii="Verdana"/>
                <w:sz w:val="16"/>
              </w:rPr>
            </w:pPr>
            <w:r>
              <w:rPr>
                <w:rFonts w:ascii="Verdana"/>
                <w:sz w:val="16"/>
              </w:rPr>
              <w:t>IZGRADNJA NERAZVRSTANIH CESTA</w:t>
            </w:r>
          </w:p>
          <w:p>
            <w:pPr>
              <w:pStyle w:val="TableParagraph"/>
              <w:spacing w:before="45"/>
              <w:ind w:left="73"/>
              <w:jc w:val="left"/>
              <w:rPr>
                <w:sz w:val="14"/>
              </w:rPr>
            </w:pPr>
            <w:r>
              <w:rPr>
                <w:sz w:val="14"/>
              </w:rPr>
              <w:t>Funkcija: 0451 Cestovni promet</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4"/>
              <w:jc w:val="left"/>
              <w:rPr>
                <w:rFonts w:ascii="Verdana"/>
                <w:sz w:val="16"/>
              </w:rPr>
            </w:pPr>
            <w:r>
              <w:rPr>
                <w:rFonts w:ascii="Verdana"/>
                <w:sz w:val="16"/>
              </w:rPr>
              <w:t>210.000,00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0"/>
              <w:jc w:val="left"/>
              <w:rPr>
                <w:rFonts w:ascii="Verdana"/>
                <w:sz w:val="16"/>
              </w:rPr>
            </w:pPr>
            <w:r>
              <w:rPr>
                <w:rFonts w:ascii="Verdana"/>
                <w:sz w:val="16"/>
              </w:rPr>
              <w:t>210.000,00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47"/>
              <w:jc w:val="left"/>
              <w:rPr>
                <w:rFonts w:ascii="Verdana"/>
                <w:sz w:val="16"/>
              </w:rPr>
            </w:pPr>
            <w:r>
              <w:rPr>
                <w:rFonts w:ascii="Verdana"/>
                <w:sz w:val="16"/>
              </w:rPr>
              <w:t>189.455,19</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90,22%</w:t>
            </w:r>
          </w:p>
        </w:tc>
      </w:tr>
      <w:tr>
        <w:trPr>
          <w:trHeight w:val="182"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2"/>
              <w:jc w:val="center"/>
              <w:rPr>
                <w:sz w:val="14"/>
              </w:rPr>
            </w:pPr>
            <w:r>
              <w:rPr>
                <w:sz w:val="14"/>
              </w:rPr>
              <w:t>Izv.</w:t>
            </w:r>
          </w:p>
        </w:tc>
        <w:tc>
          <w:tcPr>
            <w:tcW w:w="112" w:type="dxa"/>
            <w:tcBorders>
              <w:top w:val="single" w:sz="12"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line="162" w:lineRule="exact" w:before="0"/>
              <w:jc w:val="center"/>
              <w:rPr>
                <w:sz w:val="14"/>
              </w:rPr>
            </w:pPr>
            <w:r>
              <w:rPr>
                <w:w w:val="100"/>
                <w:sz w:val="14"/>
              </w:rPr>
              <w:t>3</w:t>
            </w: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line="162" w:lineRule="exact" w:before="0"/>
              <w:ind w:left="8"/>
              <w:jc w:val="left"/>
              <w:rPr>
                <w:sz w:val="14"/>
              </w:rPr>
            </w:pPr>
            <w:r>
              <w:rPr>
                <w:w w:val="100"/>
                <w:sz w:val="14"/>
              </w:rPr>
              <w:t>4</w:t>
            </w:r>
          </w:p>
        </w:tc>
        <w:tc>
          <w:tcPr>
            <w:tcW w:w="114" w:type="dxa"/>
            <w:tcBorders>
              <w:top w:val="single" w:sz="12"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12"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12"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421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210.000,00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210.000,00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189.455,19</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90,22%</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4213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Ceste, željeznice i slični 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210.000,00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210.000,00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189.455,19</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90,22%</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2"/>
                <w:sz w:val="16"/>
              </w:rPr>
              <w:t> </w:t>
            </w:r>
            <w:r>
              <w:rPr>
                <w:rFonts w:ascii="Verdana"/>
                <w:sz w:val="16"/>
              </w:rPr>
              <w:t>K401118</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4"/>
              <w:jc w:val="left"/>
              <w:rPr>
                <w:rFonts w:ascii="Verdana" w:hAnsi="Verdana"/>
                <w:sz w:val="16"/>
              </w:rPr>
            </w:pPr>
            <w:r>
              <w:rPr>
                <w:rFonts w:ascii="Verdana" w:hAnsi="Verdana"/>
                <w:sz w:val="16"/>
              </w:rPr>
              <w:t>UREĐENJE PARKIRALIŠTA IZA ZGRADE GRADSKE UPRAVE</w:t>
            </w:r>
          </w:p>
          <w:p>
            <w:pPr>
              <w:pStyle w:val="TableParagraph"/>
              <w:spacing w:before="45"/>
              <w:ind w:left="73"/>
              <w:jc w:val="left"/>
              <w:rPr>
                <w:sz w:val="14"/>
              </w:rPr>
            </w:pPr>
            <w:r>
              <w:rPr>
                <w:sz w:val="14"/>
              </w:rPr>
              <w:t>Funkcija: 0451 Izgradnja parkirališta</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4"/>
              <w:jc w:val="left"/>
              <w:rPr>
                <w:rFonts w:ascii="Verdana"/>
                <w:sz w:val="16"/>
              </w:rPr>
            </w:pPr>
            <w:r>
              <w:rPr>
                <w:rFonts w:ascii="Verdana"/>
                <w:sz w:val="16"/>
              </w:rPr>
              <w:t>120.000,00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0"/>
              <w:jc w:val="left"/>
              <w:rPr>
                <w:rFonts w:ascii="Verdana"/>
                <w:sz w:val="16"/>
              </w:rPr>
            </w:pPr>
            <w:r>
              <w:rPr>
                <w:rFonts w:ascii="Verdana"/>
                <w:sz w:val="16"/>
              </w:rPr>
              <w:t>120.000,00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47"/>
              <w:jc w:val="left"/>
              <w:rPr>
                <w:rFonts w:ascii="Verdana"/>
                <w:sz w:val="16"/>
              </w:rPr>
            </w:pPr>
            <w:r>
              <w:rPr>
                <w:rFonts w:ascii="Verdana"/>
                <w:sz w:val="16"/>
              </w:rPr>
              <w:t>113.702,35</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94,75%</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jc w:val="center"/>
              <w:rPr>
                <w:sz w:val="14"/>
              </w:rPr>
            </w:pPr>
            <w:r>
              <w:rPr>
                <w:w w:val="100"/>
                <w:sz w:val="14"/>
              </w:rPr>
              <w:t>3</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421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113.702,35</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94,75%</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4213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Ceste, željeznice i slični 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120.000,00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113.702,35</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94,75%</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2"/>
                <w:sz w:val="16"/>
              </w:rPr>
              <w:t> </w:t>
            </w:r>
            <w:r>
              <w:rPr>
                <w:rFonts w:ascii="Verdana"/>
                <w:sz w:val="16"/>
              </w:rPr>
              <w:t>K401120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4"/>
              <w:jc w:val="left"/>
              <w:rPr>
                <w:rFonts w:ascii="Verdana"/>
                <w:sz w:val="16"/>
              </w:rPr>
            </w:pPr>
            <w:r>
              <w:rPr>
                <w:rFonts w:ascii="Verdana"/>
                <w:w w:val="105"/>
                <w:sz w:val="16"/>
              </w:rPr>
              <w:t>IZGRADNJA OBJEKATA NA GROBLJIMA</w:t>
            </w:r>
          </w:p>
          <w:p>
            <w:pPr>
              <w:pStyle w:val="TableParagraph"/>
              <w:spacing w:before="45"/>
              <w:ind w:left="73"/>
              <w:jc w:val="left"/>
              <w:rPr>
                <w:sz w:val="14"/>
              </w:rPr>
            </w:pPr>
            <w:r>
              <w:rPr>
                <w:sz w:val="14"/>
              </w:rPr>
              <w:t>Funkcija: 0620 Razvoj zajednice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4"/>
              <w:jc w:val="left"/>
              <w:rPr>
                <w:rFonts w:ascii="Verdana"/>
                <w:sz w:val="16"/>
              </w:rPr>
            </w:pPr>
            <w:r>
              <w:rPr>
                <w:rFonts w:ascii="Verdana"/>
                <w:sz w:val="16"/>
              </w:rPr>
              <w:t>200.000,00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0"/>
              <w:jc w:val="left"/>
              <w:rPr>
                <w:rFonts w:ascii="Verdana"/>
                <w:sz w:val="16"/>
              </w:rPr>
            </w:pPr>
            <w:r>
              <w:rPr>
                <w:rFonts w:ascii="Verdana"/>
                <w:sz w:val="16"/>
              </w:rPr>
              <w:t>200.000,00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47"/>
              <w:jc w:val="left"/>
              <w:rPr>
                <w:rFonts w:ascii="Verdana"/>
                <w:sz w:val="16"/>
              </w:rPr>
            </w:pPr>
            <w:r>
              <w:rPr>
                <w:rFonts w:ascii="Verdana"/>
                <w:sz w:val="16"/>
              </w:rPr>
              <w:t>200.000,00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293"/>
              <w:jc w:val="left"/>
              <w:rPr>
                <w:rFonts w:ascii="Verdana"/>
                <w:sz w:val="16"/>
              </w:rPr>
            </w:pPr>
            <w:r>
              <w:rPr>
                <w:rFonts w:ascii="Verdana"/>
                <w:sz w:val="16"/>
              </w:rPr>
              <w:t>100,00%</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jc w:val="center"/>
              <w:rPr>
                <w:sz w:val="14"/>
              </w:rPr>
            </w:pPr>
            <w:r>
              <w:rPr>
                <w:w w:val="100"/>
                <w:sz w:val="14"/>
              </w:rPr>
              <w:t>3</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1"/>
              <w:jc w:val="left"/>
              <w:rPr>
                <w:sz w:val="16"/>
              </w:rPr>
            </w:pPr>
            <w:r>
              <w:rPr>
                <w:sz w:val="16"/>
              </w:rPr>
              <w:t>421</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1"/>
              <w:jc w:val="left"/>
              <w:rPr>
                <w:sz w:val="16"/>
              </w:rPr>
            </w:pPr>
            <w:r>
              <w:rPr>
                <w:sz w:val="16"/>
              </w:rPr>
              <w:t>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9"/>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3"/>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5"/>
              <w:rPr>
                <w:sz w:val="16"/>
              </w:rPr>
            </w:pPr>
            <w:r>
              <w:rPr>
                <w:sz w:val="16"/>
              </w:rPr>
              <w:t>200.000,00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9"/>
              <w:rPr>
                <w:sz w:val="16"/>
              </w:rPr>
            </w:pPr>
            <w:r>
              <w:rPr>
                <w:sz w:val="16"/>
              </w:rPr>
              <w:t>100,00%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4214</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Ostali građevinski objekti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200.000,00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100,00%</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22"/>
                <w:sz w:val="16"/>
              </w:rPr>
              <w:t> </w:t>
            </w:r>
            <w:r>
              <w:rPr>
                <w:rFonts w:ascii="Verdana"/>
                <w:sz w:val="16"/>
              </w:rPr>
              <w:t>T401112</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4"/>
              <w:jc w:val="left"/>
              <w:rPr>
                <w:rFonts w:ascii="Verdana"/>
                <w:sz w:val="16"/>
              </w:rPr>
            </w:pPr>
            <w:r>
              <w:rPr>
                <w:rFonts w:ascii="Verdana"/>
                <w:sz w:val="16"/>
              </w:rPr>
              <w:t>IZGRADNJA KANALIZACIJSKOG SUSTAVA</w:t>
            </w:r>
          </w:p>
          <w:p>
            <w:pPr>
              <w:pStyle w:val="TableParagraph"/>
              <w:spacing w:before="45"/>
              <w:ind w:left="73"/>
              <w:jc w:val="left"/>
              <w:rPr>
                <w:sz w:val="14"/>
              </w:rPr>
            </w:pPr>
            <w:r>
              <w:rPr>
                <w:sz w:val="14"/>
              </w:rPr>
              <w:t>Funkcija: 0521 Upravljanje otpadnim vodama (KS)</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right="59"/>
              <w:rPr>
                <w:rFonts w:ascii="Verdana"/>
                <w:sz w:val="16"/>
              </w:rPr>
            </w:pPr>
            <w:r>
              <w:rPr>
                <w:rFonts w:ascii="Verdana"/>
                <w:sz w:val="16"/>
              </w:rPr>
              <w:t>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right="61"/>
              <w:rPr>
                <w:rFonts w:ascii="Verdana"/>
                <w:sz w:val="16"/>
              </w:rPr>
            </w:pPr>
            <w:r>
              <w:rPr>
                <w:rFonts w:ascii="Verdana"/>
                <w:sz w:val="16"/>
              </w:rPr>
              <w:t>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right="63"/>
              <w:rPr>
                <w:rFonts w:ascii="Verdana"/>
                <w:sz w:val="16"/>
              </w:rPr>
            </w:pPr>
            <w:r>
              <w:rPr>
                <w:rFonts w:ascii="Verdana"/>
                <w:sz w:val="16"/>
              </w:rPr>
              <w:t>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0"/>
              <w:jc w:val="left"/>
              <w:rPr>
                <w:rFonts w:ascii="Times New Roman"/>
                <w:sz w:val="16"/>
              </w:rPr>
            </w:pP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jc w:val="center"/>
              <w:rPr>
                <w:sz w:val="14"/>
              </w:rPr>
            </w:pPr>
            <w:r>
              <w:rPr>
                <w:w w:val="100"/>
                <w:sz w:val="14"/>
              </w:rPr>
              <w:t>3</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1"/>
              <w:jc w:val="left"/>
              <w:rPr>
                <w:sz w:val="16"/>
              </w:rPr>
            </w:pPr>
            <w:r>
              <w:rPr>
                <w:sz w:val="16"/>
              </w:rPr>
              <w:t>386</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1"/>
              <w:jc w:val="left"/>
              <w:rPr>
                <w:sz w:val="16"/>
              </w:rPr>
            </w:pPr>
            <w:r>
              <w:rPr>
                <w:sz w:val="16"/>
              </w:rPr>
              <w:t>Kapitalne pomoći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64"/>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6"/>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6"/>
              </w:rPr>
            </w:pP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3861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Kapitalne pomoći bankama i ostalim financijskim institucijama i trgovačkim društvima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4"/>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6"/>
              <w:rPr>
                <w:sz w:val="16"/>
              </w:rPr>
            </w:pPr>
            <w:r>
              <w:rPr>
                <w:sz w:val="16"/>
              </w:rPr>
              <w:t>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0"/>
              <w:jc w:val="left"/>
              <w:rPr>
                <w:rFonts w:ascii="Times New Roman"/>
                <w:sz w:val="16"/>
              </w:rPr>
            </w:pPr>
          </w:p>
        </w:tc>
      </w:tr>
      <w:tr>
        <w:trPr>
          <w:trHeight w:val="505" w:hRule="atLeast"/>
        </w:trPr>
        <w:tc>
          <w:tcPr>
            <w:tcW w:w="1138"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1"/>
              <w:jc w:val="left"/>
              <w:rPr>
                <w:rFonts w:ascii="Verdana"/>
                <w:sz w:val="16"/>
              </w:rPr>
            </w:pPr>
            <w:r>
              <w:rPr>
                <w:rFonts w:ascii="Verdana"/>
                <w:sz w:val="16"/>
              </w:rPr>
              <w:t>Program</w:t>
            </w:r>
          </w:p>
          <w:p>
            <w:pPr>
              <w:pStyle w:val="TableParagraph"/>
              <w:spacing w:before="31"/>
              <w:ind w:left="712"/>
              <w:jc w:val="left"/>
              <w:rPr>
                <w:rFonts w:ascii="Verdana"/>
                <w:sz w:val="16"/>
              </w:rPr>
            </w:pPr>
            <w:r>
              <w:rPr>
                <w:rFonts w:ascii="Verdana"/>
                <w:sz w:val="16"/>
              </w:rPr>
              <w:t>4012</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3"/>
              <w:jc w:val="left"/>
              <w:rPr>
                <w:rFonts w:ascii="Verdana" w:hAnsi="Verdana"/>
                <w:sz w:val="20"/>
              </w:rPr>
            </w:pPr>
            <w:r>
              <w:rPr>
                <w:rFonts w:ascii="Verdana" w:hAnsi="Verdana"/>
                <w:w w:val="105"/>
                <w:sz w:val="20"/>
              </w:rPr>
              <w:t>PROGRAM PROSTORNOG PLANIRANJA I UREĐANJA GRADA</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6"/>
              <w:rPr>
                <w:rFonts w:ascii="Verdana"/>
                <w:sz w:val="20"/>
              </w:rPr>
            </w:pPr>
            <w:r>
              <w:rPr>
                <w:rFonts w:ascii="Verdana"/>
                <w:sz w:val="20"/>
              </w:rPr>
              <w:t>579.000,00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8"/>
              <w:rPr>
                <w:rFonts w:ascii="Verdana"/>
                <w:sz w:val="20"/>
              </w:rPr>
            </w:pPr>
            <w:r>
              <w:rPr>
                <w:rFonts w:ascii="Verdana"/>
                <w:sz w:val="20"/>
              </w:rPr>
              <w:t>579.000,00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82"/>
              <w:rPr>
                <w:rFonts w:ascii="Verdana"/>
                <w:sz w:val="20"/>
              </w:rPr>
            </w:pPr>
            <w:r>
              <w:rPr>
                <w:rFonts w:ascii="Verdana"/>
                <w:sz w:val="20"/>
              </w:rPr>
              <w:t>149.337,21</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6"/>
              <w:rPr>
                <w:rFonts w:ascii="Verdana"/>
                <w:sz w:val="20"/>
              </w:rPr>
            </w:pPr>
            <w:r>
              <w:rPr>
                <w:rFonts w:ascii="Verdana"/>
                <w:sz w:val="20"/>
              </w:rPr>
              <w:t>25,79%</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A401210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hAnsi="Verdana"/>
                <w:sz w:val="16"/>
              </w:rPr>
            </w:pPr>
            <w:r>
              <w:rPr>
                <w:rFonts w:ascii="Verdana" w:hAnsi="Verdana"/>
                <w:w w:val="105"/>
                <w:sz w:val="16"/>
              </w:rPr>
              <w:t>PRIPREMA I PROVOĐENJE PROJEKATA</w:t>
            </w:r>
          </w:p>
          <w:p>
            <w:pPr>
              <w:pStyle w:val="TableParagraph"/>
              <w:tabs>
                <w:tab w:pos="5999" w:val="left" w:leader="dot"/>
              </w:tabs>
              <w:spacing w:before="45"/>
              <w:ind w:left="73"/>
              <w:jc w:val="left"/>
              <w:rPr>
                <w:sz w:val="14"/>
              </w:rPr>
            </w:pPr>
            <w:r>
              <w:rPr>
                <w:sz w:val="14"/>
              </w:rPr>
              <w:t>Funkcija:</w:t>
            </w:r>
            <w:r>
              <w:rPr>
                <w:spacing w:val="-11"/>
                <w:sz w:val="14"/>
              </w:rPr>
              <w:t> </w:t>
            </w:r>
            <w:r>
              <w:rPr>
                <w:sz w:val="14"/>
              </w:rPr>
              <w:t>0620</w:t>
            </w:r>
            <w:r>
              <w:rPr>
                <w:spacing w:val="-11"/>
                <w:sz w:val="14"/>
              </w:rPr>
              <w:t> </w:t>
            </w:r>
            <w:r>
              <w:rPr>
                <w:sz w:val="14"/>
              </w:rPr>
              <w:t>Planiranje</w:t>
            </w:r>
            <w:r>
              <w:rPr>
                <w:spacing w:val="-10"/>
                <w:sz w:val="14"/>
              </w:rPr>
              <w:t> </w:t>
            </w:r>
            <w:r>
              <w:rPr>
                <w:sz w:val="14"/>
              </w:rPr>
              <w:t>poboljšanja</w:t>
            </w:r>
            <w:r>
              <w:rPr>
                <w:spacing w:val="-11"/>
                <w:sz w:val="14"/>
              </w:rPr>
              <w:t> </w:t>
            </w:r>
            <w:r>
              <w:rPr>
                <w:sz w:val="14"/>
              </w:rPr>
              <w:t>i</w:t>
            </w:r>
            <w:r>
              <w:rPr>
                <w:spacing w:val="-10"/>
                <w:sz w:val="14"/>
              </w:rPr>
              <w:t> </w:t>
            </w:r>
            <w:r>
              <w:rPr>
                <w:sz w:val="14"/>
              </w:rPr>
              <w:t>razvoja</w:t>
            </w:r>
            <w:r>
              <w:rPr>
                <w:spacing w:val="-11"/>
                <w:sz w:val="14"/>
              </w:rPr>
              <w:t> </w:t>
            </w:r>
            <w:r>
              <w:rPr>
                <w:sz w:val="14"/>
              </w:rPr>
              <w:t>objekata</w:t>
            </w:r>
            <w:r>
              <w:rPr>
                <w:spacing w:val="-10"/>
                <w:sz w:val="14"/>
              </w:rPr>
              <w:t> </w:t>
            </w:r>
            <w:r>
              <w:rPr>
                <w:sz w:val="14"/>
              </w:rPr>
              <w:t>(stambenih,</w:t>
            </w:r>
            <w:r>
              <w:rPr>
                <w:spacing w:val="-11"/>
                <w:sz w:val="14"/>
              </w:rPr>
              <w:t> </w:t>
            </w:r>
            <w:r>
              <w:rPr>
                <w:sz w:val="14"/>
              </w:rPr>
              <w:t>industrijskih,</w:t>
            </w:r>
            <w:r>
              <w:rPr>
                <w:spacing w:val="-10"/>
                <w:sz w:val="14"/>
              </w:rPr>
              <w:t> </w:t>
            </w:r>
            <w:r>
              <w:rPr>
                <w:sz w:val="14"/>
              </w:rPr>
              <w:t>komunalnih.</w:t>
              <w:tab/>
              <w:t>)</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4"/>
              <w:jc w:val="left"/>
              <w:rPr>
                <w:rFonts w:ascii="Verdana"/>
                <w:sz w:val="16"/>
              </w:rPr>
            </w:pPr>
            <w:r>
              <w:rPr>
                <w:rFonts w:ascii="Verdana"/>
                <w:sz w:val="16"/>
              </w:rPr>
              <w:t>380.000,00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0"/>
              <w:jc w:val="left"/>
              <w:rPr>
                <w:rFonts w:ascii="Verdana"/>
                <w:sz w:val="16"/>
              </w:rPr>
            </w:pPr>
            <w:r>
              <w:rPr>
                <w:rFonts w:ascii="Verdana"/>
                <w:sz w:val="16"/>
              </w:rPr>
              <w:t>380.000,00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46"/>
              <w:jc w:val="left"/>
              <w:rPr>
                <w:rFonts w:ascii="Verdana"/>
                <w:sz w:val="16"/>
              </w:rPr>
            </w:pPr>
            <w:r>
              <w:rPr>
                <w:rFonts w:ascii="Verdana"/>
                <w:sz w:val="16"/>
              </w:rPr>
              <w:t>55.178,21</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14,52%</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2"/>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jc w:val="center"/>
              <w:rPr>
                <w:sz w:val="14"/>
              </w:rPr>
            </w:pPr>
            <w:r>
              <w:rPr>
                <w:w w:val="100"/>
                <w:sz w:val="14"/>
              </w:rPr>
              <w:t>3</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323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380.000,00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380.000,00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55.178,21</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14,52%</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3237</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313.000,00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313.000,00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55.178,21</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17,63%</w:t>
            </w:r>
          </w:p>
        </w:tc>
      </w:tr>
      <w:tr>
        <w:trPr>
          <w:trHeight w:val="282" w:hRule="atLeast"/>
        </w:trPr>
        <w:tc>
          <w:tcPr>
            <w:tcW w:w="738" w:type="dxa"/>
            <w:gridSpan w:val="5"/>
            <w:tcBorders>
              <w:top w:val="single" w:sz="8" w:space="0" w:color="000000"/>
              <w:left w:val="nil"/>
              <w:bottom w:val="nil"/>
              <w:right w:val="single" w:sz="2" w:space="0" w:color="000000"/>
            </w:tcBorders>
          </w:tcPr>
          <w:p>
            <w:pPr>
              <w:pStyle w:val="TableParagraph"/>
              <w:ind w:left="362"/>
              <w:jc w:val="left"/>
              <w:rPr>
                <w:sz w:val="16"/>
              </w:rPr>
            </w:pPr>
            <w:r>
              <w:rPr>
                <w:sz w:val="16"/>
              </w:rPr>
              <w:t>3239</w:t>
            </w:r>
          </w:p>
        </w:tc>
        <w:tc>
          <w:tcPr>
            <w:tcW w:w="400" w:type="dxa"/>
            <w:gridSpan w:val="3"/>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1"/>
              <w:jc w:val="left"/>
              <w:rPr>
                <w:sz w:val="16"/>
              </w:rPr>
            </w:pPr>
            <w:r>
              <w:rPr>
                <w:sz w:val="16"/>
              </w:rPr>
              <w:t>Ostale usluge</w:t>
            </w:r>
          </w:p>
        </w:tc>
        <w:tc>
          <w:tcPr>
            <w:tcW w:w="1833" w:type="dxa"/>
            <w:tcBorders>
              <w:top w:val="single" w:sz="8" w:space="0" w:color="000000"/>
              <w:left w:val="single" w:sz="2" w:space="0" w:color="000000"/>
              <w:bottom w:val="nil"/>
              <w:right w:val="single" w:sz="2" w:space="0" w:color="000000"/>
            </w:tcBorders>
          </w:tcPr>
          <w:p>
            <w:pPr>
              <w:pStyle w:val="TableParagraph"/>
              <w:ind w:right="61"/>
              <w:rPr>
                <w:sz w:val="16"/>
              </w:rPr>
            </w:pPr>
            <w:r>
              <w:rPr>
                <w:sz w:val="16"/>
              </w:rPr>
              <w:t>67.000,00</w:t>
            </w:r>
          </w:p>
        </w:tc>
        <w:tc>
          <w:tcPr>
            <w:tcW w:w="1831" w:type="dxa"/>
            <w:tcBorders>
              <w:top w:val="single" w:sz="8" w:space="0" w:color="000000"/>
              <w:left w:val="single" w:sz="2" w:space="0" w:color="000000"/>
              <w:bottom w:val="nil"/>
              <w:right w:val="single" w:sz="2" w:space="0" w:color="000000"/>
            </w:tcBorders>
          </w:tcPr>
          <w:p>
            <w:pPr>
              <w:pStyle w:val="TableParagraph"/>
              <w:ind w:right="63"/>
              <w:rPr>
                <w:sz w:val="16"/>
              </w:rPr>
            </w:pPr>
            <w:r>
              <w:rPr>
                <w:sz w:val="16"/>
              </w:rPr>
              <w:t>67.000,00</w:t>
            </w:r>
          </w:p>
        </w:tc>
        <w:tc>
          <w:tcPr>
            <w:tcW w:w="1831" w:type="dxa"/>
            <w:tcBorders>
              <w:top w:val="single" w:sz="8" w:space="0" w:color="000000"/>
              <w:left w:val="single" w:sz="2" w:space="0" w:color="000000"/>
              <w:bottom w:val="nil"/>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nil"/>
              <w:right w:val="nil"/>
            </w:tcBorders>
          </w:tcPr>
          <w:p>
            <w:pPr>
              <w:pStyle w:val="TableParagraph"/>
              <w:ind w:right="59"/>
              <w:rPr>
                <w:sz w:val="16"/>
              </w:rPr>
            </w:pPr>
            <w:r>
              <w:rPr>
                <w:sz w:val="16"/>
              </w:rPr>
              <w:t>0,00%</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3"/>
        <w:gridCol w:w="114"/>
        <w:gridCol w:w="112"/>
        <w:gridCol w:w="174"/>
        <w:gridCol w:w="7778"/>
        <w:gridCol w:w="1833"/>
        <w:gridCol w:w="1831"/>
        <w:gridCol w:w="1831"/>
        <w:gridCol w:w="1105"/>
      </w:tblGrid>
      <w:tr>
        <w:trPr>
          <w:trHeight w:val="828" w:hRule="atLeast"/>
        </w:trPr>
        <w:tc>
          <w:tcPr>
            <w:tcW w:w="15516" w:type="dxa"/>
            <w:gridSpan w:val="13"/>
            <w:tcBorders>
              <w:left w:val="nil"/>
              <w:bottom w:val="single" w:sz="8" w:space="0" w:color="000000"/>
              <w:right w:val="nil"/>
            </w:tcBorders>
            <w:shd w:val="clear" w:color="auto" w:fill="C0C0C0"/>
          </w:tcPr>
          <w:p>
            <w:pPr>
              <w:pStyle w:val="TableParagraph"/>
              <w:spacing w:before="56"/>
              <w:ind w:left="1431" w:right="1462"/>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37" w:right="1429"/>
              <w:jc w:val="center"/>
              <w:rPr>
                <w:rFonts w:ascii="Times New Roman"/>
                <w:sz w:val="22"/>
              </w:rPr>
            </w:pPr>
            <w:r>
              <w:rPr>
                <w:rFonts w:ascii="Times New Roman"/>
                <w:sz w:val="22"/>
              </w:rPr>
              <w:t>POSEBNI DIO- PROGRAMSKA KLASIFIKACIJA</w:t>
            </w:r>
          </w:p>
        </w:tc>
      </w:tr>
      <w:tr>
        <w:trPr>
          <w:trHeight w:val="846" w:hRule="atLeast"/>
        </w:trPr>
        <w:tc>
          <w:tcPr>
            <w:tcW w:w="1138"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47" w:right="235" w:hanging="5"/>
              <w:jc w:val="center"/>
              <w:rPr>
                <w:sz w:val="20"/>
              </w:rPr>
            </w:pPr>
            <w:r>
              <w:rPr>
                <w:sz w:val="20"/>
              </w:rPr>
              <w:t>Račun/ </w:t>
            </w:r>
            <w:r>
              <w:rPr>
                <w:w w:val="95"/>
                <w:sz w:val="20"/>
              </w:rPr>
              <w:t>Pozicija</w:t>
            </w:r>
          </w:p>
          <w:p>
            <w:pPr>
              <w:pStyle w:val="TableParagraph"/>
              <w:spacing w:before="84"/>
              <w:ind w:left="158"/>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53" w:right="3672"/>
              <w:jc w:val="center"/>
              <w:rPr>
                <w:sz w:val="20"/>
              </w:rPr>
            </w:pPr>
            <w:r>
              <w:rPr>
                <w:sz w:val="20"/>
              </w:rPr>
              <w:t>Opis</w:t>
            </w:r>
          </w:p>
          <w:p>
            <w:pPr>
              <w:pStyle w:val="TableParagraph"/>
              <w:spacing w:before="4"/>
              <w:jc w:val="left"/>
              <w:rPr>
                <w:rFonts w:ascii="Times New Roman"/>
                <w:sz w:val="28"/>
              </w:rPr>
            </w:pPr>
          </w:p>
          <w:p>
            <w:pPr>
              <w:pStyle w:val="TableParagraph"/>
              <w:spacing w:before="0"/>
              <w:ind w:right="7"/>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8"/>
              <w:jc w:val="center"/>
              <w:rPr>
                <w:sz w:val="20"/>
              </w:rPr>
            </w:pPr>
            <w:r>
              <w:rPr>
                <w:sz w:val="20"/>
              </w:rPr>
              <w:t>Izvorni plan za 2014. godinu</w:t>
            </w:r>
          </w:p>
          <w:p>
            <w:pPr>
              <w:pStyle w:val="TableParagraph"/>
              <w:spacing w:before="89"/>
              <w:ind w:left="22"/>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80" w:right="131"/>
              <w:jc w:val="center"/>
              <w:rPr>
                <w:sz w:val="20"/>
              </w:rPr>
            </w:pPr>
            <w:r>
              <w:rPr>
                <w:sz w:val="20"/>
              </w:rPr>
              <w:t>Tekući plan za 2014. godinu</w:t>
            </w:r>
          </w:p>
          <w:p>
            <w:pPr>
              <w:pStyle w:val="TableParagraph"/>
              <w:spacing w:before="89"/>
              <w:ind w:left="11"/>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35" w:right="131"/>
              <w:jc w:val="center"/>
              <w:rPr>
                <w:sz w:val="20"/>
              </w:rPr>
            </w:pPr>
            <w:r>
              <w:rPr>
                <w:sz w:val="20"/>
              </w:rPr>
              <w:t>Izvršenje 01.01.-</w:t>
            </w:r>
          </w:p>
          <w:p>
            <w:pPr>
              <w:pStyle w:val="TableParagraph"/>
              <w:spacing w:line="241" w:lineRule="exact" w:before="0"/>
              <w:ind w:left="138" w:right="131"/>
              <w:jc w:val="center"/>
              <w:rPr>
                <w:sz w:val="20"/>
              </w:rPr>
            </w:pPr>
            <w:r>
              <w:rPr>
                <w:sz w:val="20"/>
              </w:rPr>
              <w:t>30.06.2014.</w:t>
            </w:r>
          </w:p>
          <w:p>
            <w:pPr>
              <w:pStyle w:val="TableParagraph"/>
              <w:spacing w:before="90"/>
              <w:ind w:left="6"/>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2" w:right="235"/>
              <w:jc w:val="center"/>
              <w:rPr>
                <w:sz w:val="20"/>
              </w:rPr>
            </w:pPr>
            <w:r>
              <w:rPr>
                <w:w w:val="95"/>
                <w:sz w:val="20"/>
              </w:rPr>
              <w:t>Indeks </w:t>
            </w:r>
            <w:r>
              <w:rPr>
                <w:sz w:val="20"/>
              </w:rPr>
              <w:t>5/4</w:t>
            </w:r>
          </w:p>
          <w:p>
            <w:pPr>
              <w:pStyle w:val="TableParagraph"/>
              <w:spacing w:before="89"/>
              <w:ind w:left="20"/>
              <w:jc w:val="center"/>
              <w:rPr>
                <w:sz w:val="18"/>
              </w:rPr>
            </w:pPr>
            <w:r>
              <w:rPr>
                <w:w w:val="100"/>
                <w:sz w:val="18"/>
              </w:rPr>
              <w:t>6</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2"/>
                <w:sz w:val="16"/>
              </w:rPr>
              <w:t> </w:t>
            </w:r>
            <w:r>
              <w:rPr>
                <w:rFonts w:ascii="Verdana"/>
                <w:sz w:val="16"/>
              </w:rPr>
              <w:t>K401211</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4"/>
              <w:jc w:val="left"/>
              <w:rPr>
                <w:rFonts w:ascii="Verdana" w:hAnsi="Verdana"/>
                <w:sz w:val="16"/>
              </w:rPr>
            </w:pPr>
            <w:r>
              <w:rPr>
                <w:rFonts w:ascii="Verdana" w:hAnsi="Verdana"/>
                <w:w w:val="105"/>
                <w:sz w:val="16"/>
              </w:rPr>
              <w:t>OTKUP ZEMLJIŠTA I IZRADA PROJEKTNE DOKUMENTACIJE</w:t>
            </w:r>
          </w:p>
          <w:p>
            <w:pPr>
              <w:pStyle w:val="TableParagraph"/>
              <w:spacing w:before="45"/>
              <w:ind w:left="73"/>
              <w:jc w:val="left"/>
              <w:rPr>
                <w:sz w:val="14"/>
              </w:rPr>
            </w:pPr>
            <w:r>
              <w:rPr>
                <w:sz w:val="14"/>
              </w:rPr>
              <w:t>Funkcija: 0620 Razvoj zajednice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4"/>
              <w:jc w:val="left"/>
              <w:rPr>
                <w:rFonts w:ascii="Verdana"/>
                <w:sz w:val="16"/>
              </w:rPr>
            </w:pPr>
            <w:r>
              <w:rPr>
                <w:rFonts w:ascii="Verdana"/>
                <w:sz w:val="16"/>
              </w:rPr>
              <w:t>199.000,00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0"/>
              <w:jc w:val="left"/>
              <w:rPr>
                <w:rFonts w:ascii="Verdana"/>
                <w:sz w:val="16"/>
              </w:rPr>
            </w:pPr>
            <w:r>
              <w:rPr>
                <w:rFonts w:ascii="Verdana"/>
                <w:sz w:val="16"/>
              </w:rPr>
              <w:t>199.000,00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46"/>
              <w:jc w:val="left"/>
              <w:rPr>
                <w:rFonts w:ascii="Verdana"/>
                <w:sz w:val="16"/>
              </w:rPr>
            </w:pPr>
            <w:r>
              <w:rPr>
                <w:rFonts w:ascii="Verdana"/>
                <w:sz w:val="16"/>
              </w:rPr>
              <w:t>94.159,00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47,32%</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2"/>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1"/>
              <w:jc w:val="left"/>
              <w:rPr>
                <w:sz w:val="14"/>
              </w:rPr>
            </w:pPr>
            <w:r>
              <w:rPr>
                <w:w w:val="100"/>
                <w:sz w:val="14"/>
              </w:rPr>
              <w:t>6</w:t>
            </w: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1"/>
              <w:jc w:val="left"/>
              <w:rPr>
                <w:sz w:val="16"/>
              </w:rPr>
            </w:pPr>
            <w:r>
              <w:rPr>
                <w:sz w:val="16"/>
              </w:rPr>
              <w:t>411</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1"/>
              <w:jc w:val="left"/>
              <w:rPr>
                <w:sz w:val="16"/>
              </w:rPr>
            </w:pPr>
            <w:r>
              <w:rPr>
                <w:sz w:val="16"/>
              </w:rPr>
              <w:t>Materijalna imovina - prirodna bogatstva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9"/>
              <w:rPr>
                <w:sz w:val="16"/>
              </w:rPr>
            </w:pPr>
            <w:r>
              <w:rPr>
                <w:sz w:val="16"/>
              </w:rPr>
              <w:t>130.000,00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3"/>
              <w:rPr>
                <w:sz w:val="16"/>
              </w:rPr>
            </w:pPr>
            <w:r>
              <w:rPr>
                <w:sz w:val="16"/>
              </w:rPr>
              <w:t>130.000,00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5"/>
              <w:rPr>
                <w:sz w:val="16"/>
              </w:rPr>
            </w:pPr>
            <w:r>
              <w:rPr>
                <w:sz w:val="16"/>
              </w:rPr>
              <w:t>94.159,00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9"/>
              <w:rPr>
                <w:sz w:val="16"/>
              </w:rPr>
            </w:pPr>
            <w:r>
              <w:rPr>
                <w:sz w:val="16"/>
              </w:rPr>
              <w:t>72,43%</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4111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Zemljište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130.000,00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94.159,00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72,43%</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426</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69.000,00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69.000,00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4264</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Ostala nematerijalna proizvedena imovina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69.000,00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69.000,00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505" w:hRule="atLeast"/>
        </w:trPr>
        <w:tc>
          <w:tcPr>
            <w:tcW w:w="1138"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1"/>
              <w:jc w:val="left"/>
              <w:rPr>
                <w:rFonts w:ascii="Verdana"/>
                <w:sz w:val="16"/>
              </w:rPr>
            </w:pPr>
            <w:r>
              <w:rPr>
                <w:rFonts w:ascii="Verdana"/>
                <w:sz w:val="16"/>
              </w:rPr>
              <w:t>Program</w:t>
            </w:r>
          </w:p>
          <w:p>
            <w:pPr>
              <w:pStyle w:val="TableParagraph"/>
              <w:spacing w:before="31"/>
              <w:ind w:left="712"/>
              <w:jc w:val="left"/>
              <w:rPr>
                <w:rFonts w:ascii="Verdana"/>
                <w:sz w:val="16"/>
              </w:rPr>
            </w:pPr>
            <w:r>
              <w:rPr>
                <w:rFonts w:ascii="Verdana"/>
                <w:sz w:val="16"/>
              </w:rPr>
              <w:t>4013</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3"/>
              <w:jc w:val="left"/>
              <w:rPr>
                <w:rFonts w:ascii="Verdana" w:hAnsi="Verdana"/>
                <w:sz w:val="20"/>
              </w:rPr>
            </w:pPr>
            <w:r>
              <w:rPr>
                <w:rFonts w:ascii="Verdana" w:hAnsi="Verdana"/>
                <w:sz w:val="20"/>
              </w:rPr>
              <w:t>PROGRAM ODRŽAVANJA KOMUNALNE INFRASTRUKTURE</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8"/>
              <w:rPr>
                <w:rFonts w:ascii="Verdana"/>
                <w:sz w:val="20"/>
              </w:rPr>
            </w:pPr>
            <w:r>
              <w:rPr>
                <w:rFonts w:ascii="Verdana"/>
                <w:sz w:val="20"/>
              </w:rPr>
              <w:t>2.658.000,00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80"/>
              <w:rPr>
                <w:rFonts w:ascii="Verdana"/>
                <w:sz w:val="20"/>
              </w:rPr>
            </w:pPr>
            <w:r>
              <w:rPr>
                <w:rFonts w:ascii="Verdana"/>
                <w:sz w:val="20"/>
              </w:rPr>
              <w:t>2.658.000,00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82"/>
              <w:rPr>
                <w:rFonts w:ascii="Verdana"/>
                <w:sz w:val="20"/>
              </w:rPr>
            </w:pPr>
            <w:r>
              <w:rPr>
                <w:rFonts w:ascii="Verdana"/>
                <w:sz w:val="20"/>
              </w:rPr>
              <w:t>998.050,73</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6"/>
              <w:rPr>
                <w:rFonts w:ascii="Verdana"/>
                <w:sz w:val="20"/>
              </w:rPr>
            </w:pPr>
            <w:r>
              <w:rPr>
                <w:rFonts w:ascii="Verdana"/>
                <w:sz w:val="20"/>
              </w:rPr>
              <w:t>37,55%</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A401310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hAnsi="Verdana"/>
                <w:sz w:val="16"/>
              </w:rPr>
            </w:pPr>
            <w:r>
              <w:rPr>
                <w:rFonts w:ascii="Verdana" w:hAnsi="Verdana"/>
                <w:sz w:val="16"/>
              </w:rPr>
              <w:t>ODRŽAVANJE JAVNE RASVJETE</w:t>
            </w:r>
          </w:p>
          <w:p>
            <w:pPr>
              <w:pStyle w:val="TableParagraph"/>
              <w:spacing w:before="45"/>
              <w:ind w:left="73"/>
              <w:jc w:val="left"/>
              <w:rPr>
                <w:sz w:val="14"/>
              </w:rPr>
            </w:pPr>
            <w:r>
              <w:rPr>
                <w:sz w:val="14"/>
              </w:rPr>
              <w:t>Funkcija: 0641 Javna rasvjeta (KS)</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4"/>
              <w:jc w:val="left"/>
              <w:rPr>
                <w:rFonts w:ascii="Verdana"/>
                <w:sz w:val="16"/>
              </w:rPr>
            </w:pPr>
            <w:r>
              <w:rPr>
                <w:rFonts w:ascii="Verdana"/>
                <w:sz w:val="16"/>
              </w:rPr>
              <w:t>940.000,00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0"/>
              <w:jc w:val="left"/>
              <w:rPr>
                <w:rFonts w:ascii="Verdana"/>
                <w:sz w:val="16"/>
              </w:rPr>
            </w:pPr>
            <w:r>
              <w:rPr>
                <w:rFonts w:ascii="Verdana"/>
                <w:sz w:val="16"/>
              </w:rPr>
              <w:t>940.000,00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47"/>
              <w:jc w:val="left"/>
              <w:rPr>
                <w:rFonts w:ascii="Verdana"/>
                <w:sz w:val="16"/>
              </w:rPr>
            </w:pPr>
            <w:r>
              <w:rPr>
                <w:rFonts w:ascii="Verdana"/>
                <w:sz w:val="16"/>
              </w:rPr>
              <w:t>460.208,72</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48,96%</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2"/>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jc w:val="center"/>
              <w:rPr>
                <w:sz w:val="14"/>
              </w:rPr>
            </w:pPr>
            <w:r>
              <w:rPr>
                <w:w w:val="100"/>
                <w:sz w:val="14"/>
              </w:rPr>
              <w:t>3</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322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740.000,00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740.000,00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381.932,47</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51,61%</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3223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Energija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740.000,00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740.000,00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381.932,47</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51,61%</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323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78.276,25</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39,14%</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3232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200.000,00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78.276,25</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39,14%</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A401311</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hAnsi="Verdana"/>
                <w:sz w:val="16"/>
              </w:rPr>
            </w:pPr>
            <w:r>
              <w:rPr>
                <w:rFonts w:ascii="Verdana" w:hAnsi="Verdana"/>
                <w:sz w:val="16"/>
              </w:rPr>
              <w:t>ODRŽAVANJE NERAZVRSTANIH CESTA</w:t>
            </w:r>
          </w:p>
          <w:p>
            <w:pPr>
              <w:pStyle w:val="TableParagraph"/>
              <w:spacing w:before="45"/>
              <w:ind w:left="73"/>
              <w:jc w:val="left"/>
              <w:rPr>
                <w:sz w:val="14"/>
              </w:rPr>
            </w:pPr>
            <w:r>
              <w:rPr>
                <w:sz w:val="14"/>
              </w:rPr>
              <w:t>Funkcija: 0451 Cestovni promet</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4"/>
              <w:jc w:val="left"/>
              <w:rPr>
                <w:rFonts w:ascii="Verdana"/>
                <w:sz w:val="16"/>
              </w:rPr>
            </w:pPr>
            <w:r>
              <w:rPr>
                <w:rFonts w:ascii="Verdana"/>
                <w:sz w:val="16"/>
              </w:rPr>
              <w:t>427.000,00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0"/>
              <w:jc w:val="left"/>
              <w:rPr>
                <w:rFonts w:ascii="Verdana"/>
                <w:sz w:val="16"/>
              </w:rPr>
            </w:pPr>
            <w:r>
              <w:rPr>
                <w:rFonts w:ascii="Verdana"/>
                <w:sz w:val="16"/>
              </w:rPr>
              <w:t>427.000,00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47"/>
              <w:jc w:val="left"/>
              <w:rPr>
                <w:rFonts w:ascii="Verdana"/>
                <w:sz w:val="16"/>
              </w:rPr>
            </w:pPr>
            <w:r>
              <w:rPr>
                <w:rFonts w:ascii="Verdana"/>
                <w:sz w:val="16"/>
              </w:rPr>
              <w:t>210.908,89</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49,39%</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line="168" w:lineRule="exact" w:before="0"/>
              <w:jc w:val="center"/>
              <w:rPr>
                <w:sz w:val="14"/>
              </w:rPr>
            </w:pPr>
            <w:r>
              <w:rPr>
                <w:w w:val="100"/>
                <w:sz w:val="14"/>
              </w:rPr>
              <w:t>3</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322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26.697,56</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88,99%</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3224</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Mat. i dijelovi za tekuće i investicijsko održavanje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26.697,56</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88,99%</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323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397.000,00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397.000,00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184.211,33</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46,40%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3232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397.000,00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397.000,00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184.211,33</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46,40%</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A401312</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hAnsi="Verdana"/>
                <w:sz w:val="16"/>
              </w:rPr>
            </w:pPr>
            <w:r>
              <w:rPr>
                <w:rFonts w:ascii="Verdana" w:hAnsi="Verdana"/>
                <w:w w:val="105"/>
                <w:sz w:val="16"/>
              </w:rPr>
              <w:t>ODRŽAVANJE JAVNIH POVRŠINA</w:t>
            </w:r>
          </w:p>
          <w:p>
            <w:pPr>
              <w:pStyle w:val="TableParagraph"/>
              <w:spacing w:before="45"/>
              <w:ind w:left="73"/>
              <w:jc w:val="left"/>
              <w:rPr>
                <w:sz w:val="14"/>
              </w:rPr>
            </w:pPr>
            <w:r>
              <w:rPr>
                <w:sz w:val="14"/>
              </w:rPr>
              <w:t>Funkcija: 0620 Razvoj zajednice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03"/>
              <w:jc w:val="left"/>
              <w:rPr>
                <w:rFonts w:ascii="Verdana"/>
                <w:sz w:val="16"/>
              </w:rPr>
            </w:pPr>
            <w:r>
              <w:rPr>
                <w:rFonts w:ascii="Verdana"/>
                <w:sz w:val="16"/>
              </w:rPr>
              <w:t>1.176.000,00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698"/>
              <w:jc w:val="left"/>
              <w:rPr>
                <w:rFonts w:ascii="Verdana"/>
                <w:sz w:val="16"/>
              </w:rPr>
            </w:pPr>
            <w:r>
              <w:rPr>
                <w:rFonts w:ascii="Verdana"/>
                <w:sz w:val="16"/>
              </w:rPr>
              <w:t>1.176.000,00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47"/>
              <w:jc w:val="left"/>
              <w:rPr>
                <w:rFonts w:ascii="Verdana"/>
                <w:sz w:val="16"/>
              </w:rPr>
            </w:pPr>
            <w:r>
              <w:rPr>
                <w:rFonts w:ascii="Verdana"/>
                <w:sz w:val="16"/>
              </w:rPr>
              <w:t>304.033,39</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25,85%</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2"/>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jc w:val="center"/>
              <w:rPr>
                <w:sz w:val="14"/>
              </w:rPr>
            </w:pPr>
            <w:r>
              <w:rPr>
                <w:w w:val="100"/>
                <w:sz w:val="14"/>
              </w:rPr>
              <w:t>3</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4</w:t>
            </w: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1"/>
              <w:jc w:val="left"/>
              <w:rPr>
                <w:sz w:val="16"/>
              </w:rPr>
            </w:pPr>
            <w:r>
              <w:rPr>
                <w:sz w:val="16"/>
              </w:rPr>
              <w:t>311</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1"/>
              <w:jc w:val="left"/>
              <w:rPr>
                <w:sz w:val="16"/>
              </w:rPr>
            </w:pPr>
            <w:r>
              <w:rPr>
                <w:sz w:val="16"/>
              </w:rPr>
              <w:t>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9"/>
              <w:rPr>
                <w:sz w:val="16"/>
              </w:rPr>
            </w:pPr>
            <w:r>
              <w:rPr>
                <w:sz w:val="16"/>
              </w:rPr>
              <w:t>340.000,00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3"/>
              <w:rPr>
                <w:sz w:val="16"/>
              </w:rPr>
            </w:pPr>
            <w:r>
              <w:rPr>
                <w:sz w:val="16"/>
              </w:rPr>
              <w:t>340.000,00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9"/>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3111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Plaće za redovan rad</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9"/>
              <w:rPr>
                <w:sz w:val="16"/>
              </w:rPr>
            </w:pPr>
            <w:r>
              <w:rPr>
                <w:sz w:val="16"/>
              </w:rPr>
              <w:t>340.000,00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313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Doprinosi na plaće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52.000,00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3132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Doprinosi za zdravstveno osiguranje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46.000,00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46.000,00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3133</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Doprinosi za zapošljavanje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6.000,00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1"/>
              <w:jc w:val="left"/>
              <w:rPr>
                <w:sz w:val="16"/>
              </w:rPr>
            </w:pPr>
            <w:r>
              <w:rPr>
                <w:sz w:val="16"/>
              </w:rPr>
              <w:t>321</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Naknade troškova zaposlenima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54.000,00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54.000,00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282" w:hRule="atLeast"/>
        </w:trPr>
        <w:tc>
          <w:tcPr>
            <w:tcW w:w="738" w:type="dxa"/>
            <w:gridSpan w:val="5"/>
            <w:tcBorders>
              <w:top w:val="single" w:sz="8" w:space="0" w:color="000000"/>
              <w:left w:val="nil"/>
              <w:bottom w:val="nil"/>
              <w:right w:val="single" w:sz="2" w:space="0" w:color="000000"/>
            </w:tcBorders>
          </w:tcPr>
          <w:p>
            <w:pPr>
              <w:pStyle w:val="TableParagraph"/>
              <w:ind w:left="362"/>
              <w:jc w:val="left"/>
              <w:rPr>
                <w:sz w:val="16"/>
              </w:rPr>
            </w:pPr>
            <w:r>
              <w:rPr>
                <w:sz w:val="16"/>
              </w:rPr>
              <w:t>3212</w:t>
            </w:r>
          </w:p>
        </w:tc>
        <w:tc>
          <w:tcPr>
            <w:tcW w:w="400" w:type="dxa"/>
            <w:gridSpan w:val="3"/>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1"/>
              <w:jc w:val="left"/>
              <w:rPr>
                <w:sz w:val="16"/>
              </w:rPr>
            </w:pPr>
            <w:r>
              <w:rPr>
                <w:sz w:val="16"/>
              </w:rPr>
              <w:t>Naknade za prijevoz, za rad na terenu i odvojeni život</w:t>
            </w:r>
          </w:p>
        </w:tc>
        <w:tc>
          <w:tcPr>
            <w:tcW w:w="1833" w:type="dxa"/>
            <w:tcBorders>
              <w:top w:val="single" w:sz="8" w:space="0" w:color="000000"/>
              <w:left w:val="single" w:sz="2" w:space="0" w:color="000000"/>
              <w:bottom w:val="nil"/>
              <w:right w:val="single" w:sz="2" w:space="0" w:color="000000"/>
            </w:tcBorders>
          </w:tcPr>
          <w:p>
            <w:pPr>
              <w:pStyle w:val="TableParagraph"/>
              <w:ind w:right="61"/>
              <w:rPr>
                <w:sz w:val="16"/>
              </w:rPr>
            </w:pPr>
            <w:r>
              <w:rPr>
                <w:sz w:val="16"/>
              </w:rPr>
              <w:t>54.000,00</w:t>
            </w:r>
          </w:p>
        </w:tc>
        <w:tc>
          <w:tcPr>
            <w:tcW w:w="1831" w:type="dxa"/>
            <w:tcBorders>
              <w:top w:val="single" w:sz="8" w:space="0" w:color="000000"/>
              <w:left w:val="single" w:sz="2" w:space="0" w:color="000000"/>
              <w:bottom w:val="nil"/>
              <w:right w:val="single" w:sz="2" w:space="0" w:color="000000"/>
            </w:tcBorders>
          </w:tcPr>
          <w:p>
            <w:pPr>
              <w:pStyle w:val="TableParagraph"/>
              <w:ind w:right="63"/>
              <w:rPr>
                <w:sz w:val="16"/>
              </w:rPr>
            </w:pPr>
            <w:r>
              <w:rPr>
                <w:sz w:val="16"/>
              </w:rPr>
              <w:t>54.000,00</w:t>
            </w:r>
          </w:p>
        </w:tc>
        <w:tc>
          <w:tcPr>
            <w:tcW w:w="1831" w:type="dxa"/>
            <w:tcBorders>
              <w:top w:val="single" w:sz="8" w:space="0" w:color="000000"/>
              <w:left w:val="single" w:sz="2" w:space="0" w:color="000000"/>
              <w:bottom w:val="nil"/>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nil"/>
              <w:right w:val="nil"/>
            </w:tcBorders>
          </w:tcPr>
          <w:p>
            <w:pPr>
              <w:pStyle w:val="TableParagraph"/>
              <w:ind w:right="59"/>
              <w:rPr>
                <w:sz w:val="16"/>
              </w:rPr>
            </w:pPr>
            <w:r>
              <w:rPr>
                <w:sz w:val="16"/>
              </w:rPr>
              <w:t>0,00%</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3"/>
        <w:gridCol w:w="115"/>
        <w:gridCol w:w="112"/>
        <w:gridCol w:w="174"/>
        <w:gridCol w:w="7778"/>
        <w:gridCol w:w="1833"/>
        <w:gridCol w:w="1831"/>
        <w:gridCol w:w="1831"/>
        <w:gridCol w:w="1105"/>
      </w:tblGrid>
      <w:tr>
        <w:trPr>
          <w:trHeight w:val="828" w:hRule="atLeast"/>
        </w:trPr>
        <w:tc>
          <w:tcPr>
            <w:tcW w:w="15517" w:type="dxa"/>
            <w:gridSpan w:val="13"/>
            <w:tcBorders>
              <w:left w:val="nil"/>
              <w:bottom w:val="single" w:sz="8" w:space="0" w:color="000000"/>
              <w:right w:val="nil"/>
            </w:tcBorders>
            <w:shd w:val="clear" w:color="auto" w:fill="C0C0C0"/>
          </w:tcPr>
          <w:p>
            <w:pPr>
              <w:pStyle w:val="TableParagraph"/>
              <w:spacing w:before="56"/>
              <w:ind w:left="1443" w:right="1463"/>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43" w:right="1424"/>
              <w:jc w:val="center"/>
              <w:rPr>
                <w:rFonts w:ascii="Times New Roman"/>
                <w:sz w:val="22"/>
              </w:rPr>
            </w:pPr>
            <w:r>
              <w:rPr>
                <w:rFonts w:ascii="Times New Roman"/>
                <w:sz w:val="22"/>
              </w:rPr>
              <w:t>POSEBNI DIO- PROGRAMSKA KLASIFIKACIJA</w:t>
            </w:r>
          </w:p>
        </w:tc>
      </w:tr>
      <w:tr>
        <w:trPr>
          <w:trHeight w:val="846" w:hRule="atLeast"/>
        </w:trPr>
        <w:tc>
          <w:tcPr>
            <w:tcW w:w="1139"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53" w:right="230" w:hanging="5"/>
              <w:jc w:val="center"/>
              <w:rPr>
                <w:sz w:val="20"/>
              </w:rPr>
            </w:pPr>
            <w:r>
              <w:rPr>
                <w:sz w:val="20"/>
              </w:rPr>
              <w:t>Račun/ </w:t>
            </w:r>
            <w:r>
              <w:rPr>
                <w:w w:val="95"/>
                <w:sz w:val="20"/>
              </w:rPr>
              <w:t>Pozicija</w:t>
            </w:r>
          </w:p>
          <w:p>
            <w:pPr>
              <w:pStyle w:val="TableParagraph"/>
              <w:spacing w:before="84"/>
              <w:ind w:left="169"/>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62" w:right="3672"/>
              <w:jc w:val="center"/>
              <w:rPr>
                <w:sz w:val="20"/>
              </w:rPr>
            </w:pPr>
            <w:r>
              <w:rPr>
                <w:sz w:val="20"/>
              </w:rPr>
              <w:t>Opis</w:t>
            </w:r>
          </w:p>
          <w:p>
            <w:pPr>
              <w:pStyle w:val="TableParagraph"/>
              <w:spacing w:before="4"/>
              <w:jc w:val="left"/>
              <w:rPr>
                <w:rFonts w:ascii="Times New Roman"/>
                <w:sz w:val="28"/>
              </w:rPr>
            </w:pPr>
          </w:p>
          <w:p>
            <w:pPr>
              <w:pStyle w:val="TableParagraph"/>
              <w:spacing w:before="0"/>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106" w:right="138"/>
              <w:jc w:val="center"/>
              <w:rPr>
                <w:sz w:val="20"/>
              </w:rPr>
            </w:pPr>
            <w:r>
              <w:rPr>
                <w:sz w:val="20"/>
              </w:rPr>
              <w:t>Izvorni plan za 2014. godinu</w:t>
            </w:r>
          </w:p>
          <w:p>
            <w:pPr>
              <w:pStyle w:val="TableParagraph"/>
              <w:spacing w:before="89"/>
              <w:ind w:left="32"/>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0" w:right="131"/>
              <w:jc w:val="center"/>
              <w:rPr>
                <w:sz w:val="20"/>
              </w:rPr>
            </w:pPr>
            <w:r>
              <w:rPr>
                <w:sz w:val="20"/>
              </w:rPr>
              <w:t>Tekući plan za 2014. godinu</w:t>
            </w:r>
          </w:p>
          <w:p>
            <w:pPr>
              <w:pStyle w:val="TableParagraph"/>
              <w:spacing w:before="89"/>
              <w:ind w:left="21"/>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45" w:right="131"/>
              <w:jc w:val="center"/>
              <w:rPr>
                <w:sz w:val="20"/>
              </w:rPr>
            </w:pPr>
            <w:r>
              <w:rPr>
                <w:sz w:val="20"/>
              </w:rPr>
              <w:t>Izvršenje 01.01.-</w:t>
            </w:r>
          </w:p>
          <w:p>
            <w:pPr>
              <w:pStyle w:val="TableParagraph"/>
              <w:spacing w:line="241" w:lineRule="exact" w:before="0"/>
              <w:ind w:left="147" w:right="130"/>
              <w:jc w:val="center"/>
              <w:rPr>
                <w:sz w:val="20"/>
              </w:rPr>
            </w:pPr>
            <w:r>
              <w:rPr>
                <w:sz w:val="20"/>
              </w:rPr>
              <w:t>30.06.2014.</w:t>
            </w:r>
          </w:p>
          <w:p>
            <w:pPr>
              <w:pStyle w:val="TableParagraph"/>
              <w:spacing w:before="90"/>
              <w:ind w:left="16"/>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61" w:right="234"/>
              <w:jc w:val="center"/>
              <w:rPr>
                <w:sz w:val="20"/>
              </w:rPr>
            </w:pPr>
            <w:r>
              <w:rPr>
                <w:w w:val="95"/>
                <w:sz w:val="20"/>
              </w:rPr>
              <w:t>Indeks </w:t>
            </w:r>
            <w:r>
              <w:rPr>
                <w:sz w:val="20"/>
              </w:rPr>
              <w:t>5/4</w:t>
            </w:r>
          </w:p>
          <w:p>
            <w:pPr>
              <w:pStyle w:val="TableParagraph"/>
              <w:spacing w:before="89"/>
              <w:ind w:left="30"/>
              <w:jc w:val="center"/>
              <w:rPr>
                <w:sz w:val="18"/>
              </w:rPr>
            </w:pPr>
            <w:r>
              <w:rPr>
                <w:w w:val="100"/>
                <w:sz w:val="18"/>
              </w:rPr>
              <w:t>6</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12.724,01</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28,28%</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Mat. i dijelovi za tekuće i investicijsko održavanje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45.000,00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12.724,01</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28,28%</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655.000,00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655.000,00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273.359,38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41,73%</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655.000,00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655.000,00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273.359,38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41,73%</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422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Postrojenja i oprema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17.950,00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59,83%</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4227</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Uređaji, strojevi i oprema za ostale namjene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17.950,00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59,83%</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A401313</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hAnsi="Verdana"/>
                <w:sz w:val="16"/>
              </w:rPr>
            </w:pPr>
            <w:r>
              <w:rPr>
                <w:rFonts w:ascii="Verdana" w:hAnsi="Verdana"/>
                <w:sz w:val="16"/>
              </w:rPr>
              <w:t>ODRŽAVANJE GROBLJA</w:t>
            </w:r>
          </w:p>
          <w:p>
            <w:pPr>
              <w:pStyle w:val="TableParagraph"/>
              <w:spacing w:before="45"/>
              <w:ind w:left="78"/>
              <w:jc w:val="left"/>
              <w:rPr>
                <w:sz w:val="14"/>
              </w:rPr>
            </w:pPr>
            <w:r>
              <w:rPr>
                <w:sz w:val="14"/>
              </w:rPr>
              <w:t>Funkcija: 0620 Razvoj zajednice</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60"/>
              <w:jc w:val="left"/>
              <w:rPr>
                <w:rFonts w:ascii="Verdana"/>
                <w:sz w:val="16"/>
              </w:rPr>
            </w:pPr>
            <w:r>
              <w:rPr>
                <w:rFonts w:ascii="Verdana"/>
                <w:sz w:val="16"/>
              </w:rPr>
              <w:t>70.000,00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70.000,00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1"/>
              <w:jc w:val="left"/>
              <w:rPr>
                <w:rFonts w:ascii="Verdana"/>
                <w:sz w:val="16"/>
              </w:rPr>
            </w:pPr>
            <w:r>
              <w:rPr>
                <w:rFonts w:ascii="Verdana"/>
                <w:sz w:val="16"/>
              </w:rPr>
              <w:t>19.452,55</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7"/>
              <w:jc w:val="left"/>
              <w:rPr>
                <w:rFonts w:ascii="Verdana"/>
                <w:sz w:val="16"/>
              </w:rPr>
            </w:pPr>
            <w:r>
              <w:rPr>
                <w:rFonts w:ascii="Verdana"/>
                <w:sz w:val="16"/>
              </w:rPr>
              <w:t>27,79%</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323</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6"/>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6"/>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8"/>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0"/>
              <w:rPr>
                <w:sz w:val="16"/>
              </w:rPr>
            </w:pPr>
            <w:r>
              <w:rPr>
                <w:sz w:val="16"/>
              </w:rPr>
              <w:t>19.452,55</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4"/>
              <w:rPr>
                <w:sz w:val="16"/>
              </w:rPr>
            </w:pPr>
            <w:r>
              <w:rPr>
                <w:sz w:val="16"/>
              </w:rPr>
              <w:t>27,79%</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70.000,00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19.452,55</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27,79%</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A401314</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sz w:val="16"/>
              </w:rPr>
            </w:pPr>
            <w:r>
              <w:rPr>
                <w:rFonts w:ascii="Verdana"/>
                <w:sz w:val="16"/>
              </w:rPr>
              <w:t>ODVODNJA ATMOSFERSKIH VODA</w:t>
            </w:r>
          </w:p>
          <w:p>
            <w:pPr>
              <w:pStyle w:val="TableParagraph"/>
              <w:spacing w:before="45"/>
              <w:ind w:left="78"/>
              <w:jc w:val="left"/>
              <w:rPr>
                <w:sz w:val="14"/>
              </w:rPr>
            </w:pPr>
            <w:r>
              <w:rPr>
                <w:sz w:val="14"/>
              </w:rPr>
              <w:t>Funkcija: 0521 Upravljanje otpadnim vodama (KS)</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60"/>
              <w:jc w:val="left"/>
              <w:rPr>
                <w:rFonts w:ascii="Verdana"/>
                <w:sz w:val="16"/>
              </w:rPr>
            </w:pPr>
            <w:r>
              <w:rPr>
                <w:rFonts w:ascii="Verdana"/>
                <w:sz w:val="16"/>
              </w:rPr>
              <w:t>45.000,00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45.000,00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1052"/>
              <w:jc w:val="left"/>
              <w:rPr>
                <w:rFonts w:ascii="Verdana"/>
                <w:sz w:val="16"/>
              </w:rPr>
            </w:pPr>
            <w:r>
              <w:rPr>
                <w:rFonts w:ascii="Verdana"/>
                <w:sz w:val="16"/>
              </w:rPr>
              <w:t>3.447,18</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7"/>
              <w:jc w:val="left"/>
              <w:rPr>
                <w:rFonts w:ascii="Verdana"/>
                <w:sz w:val="16"/>
              </w:rPr>
            </w:pPr>
            <w:r>
              <w:rPr>
                <w:rFonts w:ascii="Verdana"/>
                <w:sz w:val="16"/>
              </w:rPr>
              <w:t>7,66%</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ind w:left="11"/>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7"/>
              <w:jc w:val="left"/>
              <w:rPr>
                <w:sz w:val="16"/>
              </w:rPr>
            </w:pPr>
            <w:r>
              <w:rPr>
                <w:sz w:val="16"/>
              </w:rPr>
              <w:t>322</w:t>
            </w:r>
          </w:p>
        </w:tc>
        <w:tc>
          <w:tcPr>
            <w:tcW w:w="401"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6"/>
              <w:jc w:val="left"/>
              <w:rPr>
                <w:sz w:val="16"/>
              </w:rPr>
            </w:pPr>
            <w:r>
              <w:rPr>
                <w:sz w:val="16"/>
              </w:rPr>
              <w:t>Rashodi za materijal i energiju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56"/>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58"/>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4"/>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3224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Mat. i dijelovi za tekuće i investicijsko održavanje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3.447,18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8,62%</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3232</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Usluge tekućeg i investicijskog održavanja</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3.447,18</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8,62%</w:t>
            </w:r>
          </w:p>
        </w:tc>
      </w:tr>
      <w:tr>
        <w:trPr>
          <w:trHeight w:val="505" w:hRule="atLeast"/>
        </w:trPr>
        <w:tc>
          <w:tcPr>
            <w:tcW w:w="1139"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7"/>
              <w:jc w:val="left"/>
              <w:rPr>
                <w:rFonts w:ascii="Verdana"/>
                <w:sz w:val="16"/>
              </w:rPr>
            </w:pPr>
            <w:r>
              <w:rPr>
                <w:rFonts w:ascii="Verdana"/>
                <w:sz w:val="16"/>
              </w:rPr>
              <w:t>Program</w:t>
            </w:r>
          </w:p>
          <w:p>
            <w:pPr>
              <w:pStyle w:val="TableParagraph"/>
              <w:spacing w:before="31"/>
              <w:ind w:left="718"/>
              <w:jc w:val="left"/>
              <w:rPr>
                <w:rFonts w:ascii="Verdana"/>
                <w:sz w:val="16"/>
              </w:rPr>
            </w:pPr>
            <w:r>
              <w:rPr>
                <w:rFonts w:ascii="Verdana"/>
                <w:sz w:val="16"/>
              </w:rPr>
              <w:t>4014</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8"/>
              <w:jc w:val="left"/>
              <w:rPr>
                <w:rFonts w:ascii="Verdana" w:hAnsi="Verdana"/>
                <w:sz w:val="20"/>
              </w:rPr>
            </w:pPr>
            <w:r>
              <w:rPr>
                <w:rFonts w:ascii="Verdana" w:hAnsi="Verdana"/>
                <w:sz w:val="20"/>
              </w:rPr>
              <w:t>PROGRAM ZAŠTITE OKOLIŠA</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1"/>
              <w:rPr>
                <w:rFonts w:ascii="Verdana"/>
                <w:sz w:val="20"/>
              </w:rPr>
            </w:pPr>
            <w:r>
              <w:rPr>
                <w:rFonts w:ascii="Verdana"/>
                <w:sz w:val="20"/>
              </w:rPr>
              <w:t>277.000,00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3"/>
              <w:rPr>
                <w:rFonts w:ascii="Verdana"/>
                <w:sz w:val="20"/>
              </w:rPr>
            </w:pPr>
            <w:r>
              <w:rPr>
                <w:rFonts w:ascii="Verdana"/>
                <w:sz w:val="20"/>
              </w:rPr>
              <w:t>277.000,00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5"/>
              <w:rPr>
                <w:rFonts w:ascii="Verdana"/>
                <w:sz w:val="20"/>
              </w:rPr>
            </w:pPr>
            <w:r>
              <w:rPr>
                <w:rFonts w:ascii="Verdana"/>
                <w:sz w:val="20"/>
              </w:rPr>
              <w:t>65.010,55</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1"/>
              <w:rPr>
                <w:rFonts w:ascii="Verdana"/>
                <w:sz w:val="20"/>
              </w:rPr>
            </w:pPr>
            <w:r>
              <w:rPr>
                <w:rFonts w:ascii="Verdana"/>
                <w:sz w:val="20"/>
              </w:rPr>
              <w:t>23,47%</w:t>
            </w:r>
          </w:p>
        </w:tc>
      </w:tr>
      <w:tr>
        <w:trPr>
          <w:trHeight w:val="232"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A401410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hAnsi="Verdana"/>
                <w:sz w:val="16"/>
              </w:rPr>
            </w:pPr>
            <w:r>
              <w:rPr>
                <w:rFonts w:ascii="Verdana" w:hAnsi="Verdana"/>
                <w:sz w:val="16"/>
              </w:rPr>
              <w:t>ZAŠTITA OKLIŠA</w:t>
            </w:r>
          </w:p>
          <w:p>
            <w:pPr>
              <w:pStyle w:val="TableParagraph"/>
              <w:spacing w:before="45"/>
              <w:ind w:left="78"/>
              <w:jc w:val="left"/>
              <w:rPr>
                <w:sz w:val="14"/>
              </w:rPr>
            </w:pPr>
            <w:r>
              <w:rPr>
                <w:sz w:val="14"/>
              </w:rPr>
              <w:t>Funkcija: 0511 Upravljanje otpadom (KS)</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140.000,00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5"/>
              <w:jc w:val="left"/>
              <w:rPr>
                <w:rFonts w:ascii="Verdana"/>
                <w:sz w:val="16"/>
              </w:rPr>
            </w:pPr>
            <w:r>
              <w:rPr>
                <w:rFonts w:ascii="Verdana"/>
                <w:sz w:val="16"/>
              </w:rPr>
              <w:t>140.000,00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1"/>
              <w:jc w:val="left"/>
              <w:rPr>
                <w:rFonts w:ascii="Verdana"/>
                <w:sz w:val="16"/>
              </w:rPr>
            </w:pPr>
            <w:r>
              <w:rPr>
                <w:rFonts w:ascii="Verdana"/>
                <w:sz w:val="16"/>
              </w:rPr>
              <w:t>63.760,55</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7"/>
              <w:jc w:val="left"/>
              <w:rPr>
                <w:rFonts w:ascii="Verdana"/>
                <w:sz w:val="16"/>
              </w:rPr>
            </w:pPr>
            <w:r>
              <w:rPr>
                <w:rFonts w:ascii="Verdana"/>
                <w:sz w:val="16"/>
              </w:rPr>
              <w:t>45,54%</w:t>
            </w:r>
          </w:p>
        </w:tc>
      </w:tr>
      <w:tr>
        <w:trPr>
          <w:trHeight w:val="182"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2"/>
              <w:ind w:left="11"/>
              <w:jc w:val="center"/>
              <w:rPr>
                <w:sz w:val="14"/>
              </w:rPr>
            </w:pPr>
            <w:r>
              <w:rPr>
                <w:sz w:val="14"/>
              </w:rPr>
              <w:t>Izv.</w:t>
            </w:r>
          </w:p>
        </w:tc>
        <w:tc>
          <w:tcPr>
            <w:tcW w:w="112" w:type="dxa"/>
            <w:tcBorders>
              <w:top w:val="single" w:sz="12" w:space="0" w:color="000000"/>
              <w:left w:val="single" w:sz="12" w:space="0" w:color="000000"/>
              <w:bottom w:val="single" w:sz="8" w:space="0" w:color="000000"/>
              <w:right w:val="single" w:sz="8" w:space="0" w:color="000000"/>
            </w:tcBorders>
            <w:shd w:val="clear" w:color="auto" w:fill="C0C0C0"/>
          </w:tcPr>
          <w:p>
            <w:pPr>
              <w:pStyle w:val="TableParagraph"/>
              <w:spacing w:line="162" w:lineRule="exact" w:before="0"/>
              <w:ind w:left="8"/>
              <w:jc w:val="left"/>
              <w:rPr>
                <w:sz w:val="14"/>
              </w:rPr>
            </w:pPr>
            <w:r>
              <w:rPr>
                <w:w w:val="100"/>
                <w:sz w:val="14"/>
              </w:rPr>
              <w:t>1</w:t>
            </w: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12"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12"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12"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12"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140.000,00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63.760,55</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45,54%</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110.000,00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51.477,95</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46,80%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3236</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Zdravstvene i veterinarske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30.000,00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0"/>
              <w:rPr>
                <w:sz w:val="16"/>
              </w:rPr>
            </w:pPr>
            <w:r>
              <w:rPr>
                <w:sz w:val="16"/>
              </w:rPr>
              <w:t>12.282,60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40,94%</w:t>
            </w:r>
          </w:p>
        </w:tc>
      </w:tr>
      <w:tr>
        <w:trPr>
          <w:trHeight w:val="236" w:hRule="atLeast"/>
        </w:trPr>
        <w:tc>
          <w:tcPr>
            <w:tcW w:w="1139" w:type="dxa"/>
            <w:gridSpan w:val="8"/>
            <w:tcBorders>
              <w:top w:val="single" w:sz="8" w:space="0" w:color="000000"/>
              <w:left w:val="nil"/>
              <w:bottom w:val="nil"/>
              <w:right w:val="single" w:sz="2" w:space="0" w:color="000000"/>
            </w:tcBorders>
            <w:shd w:val="clear" w:color="auto" w:fill="C0C0C0"/>
          </w:tcPr>
          <w:p>
            <w:pPr>
              <w:pStyle w:val="TableParagraph"/>
              <w:spacing w:before="9"/>
              <w:ind w:left="27" w:right="-15"/>
              <w:jc w:val="left"/>
              <w:rPr>
                <w:rFonts w:ascii="Verdana"/>
                <w:sz w:val="16"/>
              </w:rPr>
            </w:pPr>
            <w:r>
              <w:rPr>
                <w:rFonts w:ascii="Verdana"/>
                <w:sz w:val="16"/>
              </w:rPr>
              <w:t>Akt.</w:t>
            </w:r>
            <w:r>
              <w:rPr>
                <w:rFonts w:ascii="Verdana"/>
                <w:spacing w:val="11"/>
                <w:sz w:val="16"/>
              </w:rPr>
              <w:t> </w:t>
            </w:r>
            <w:r>
              <w:rPr>
                <w:rFonts w:ascii="Verdana"/>
                <w:sz w:val="16"/>
              </w:rPr>
              <w:t>A401411</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8"/>
              <w:jc w:val="left"/>
              <w:rPr>
                <w:rFonts w:ascii="Verdana"/>
                <w:sz w:val="16"/>
              </w:rPr>
            </w:pPr>
            <w:r>
              <w:rPr>
                <w:rFonts w:ascii="Verdana"/>
                <w:sz w:val="16"/>
              </w:rPr>
              <w:t>GOSPODARENJE OTPADOM</w:t>
            </w:r>
          </w:p>
          <w:p>
            <w:pPr>
              <w:pStyle w:val="TableParagraph"/>
              <w:spacing w:before="45"/>
              <w:ind w:left="78"/>
              <w:jc w:val="left"/>
              <w:rPr>
                <w:sz w:val="14"/>
              </w:rPr>
            </w:pPr>
            <w:r>
              <w:rPr>
                <w:sz w:val="14"/>
              </w:rPr>
              <w:t>Funkcija: 0560 Poslovi i usluge zaštite okoliša koji nisu drugdje svrstani</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9"/>
              <w:jc w:val="left"/>
              <w:rPr>
                <w:rFonts w:ascii="Verdana"/>
                <w:sz w:val="16"/>
              </w:rPr>
            </w:pPr>
            <w:r>
              <w:rPr>
                <w:rFonts w:ascii="Verdana"/>
                <w:sz w:val="16"/>
              </w:rPr>
              <w:t>105.000,00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855"/>
              <w:jc w:val="left"/>
              <w:rPr>
                <w:rFonts w:ascii="Verdana"/>
                <w:sz w:val="16"/>
              </w:rPr>
            </w:pPr>
            <w:r>
              <w:rPr>
                <w:rFonts w:ascii="Verdana"/>
                <w:sz w:val="16"/>
              </w:rPr>
              <w:t>105.000,00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1052"/>
              <w:jc w:val="left"/>
              <w:rPr>
                <w:rFonts w:ascii="Verdana"/>
                <w:sz w:val="16"/>
              </w:rPr>
            </w:pPr>
            <w:r>
              <w:rPr>
                <w:rFonts w:ascii="Verdana"/>
                <w:sz w:val="16"/>
              </w:rPr>
              <w:t>1.250,00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7"/>
              <w:jc w:val="left"/>
              <w:rPr>
                <w:rFonts w:ascii="Verdana"/>
                <w:sz w:val="16"/>
              </w:rPr>
            </w:pPr>
            <w:r>
              <w:rPr>
                <w:rFonts w:ascii="Verdana"/>
                <w:sz w:val="16"/>
              </w:rPr>
              <w:t>1,19%</w:t>
            </w:r>
          </w:p>
        </w:tc>
      </w:tr>
      <w:tr>
        <w:trPr>
          <w:trHeight w:val="188"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60" w:lineRule="exact" w:before="8"/>
              <w:ind w:left="11"/>
              <w:jc w:val="center"/>
              <w:rPr>
                <w:sz w:val="14"/>
              </w:rPr>
            </w:pPr>
            <w:r>
              <w:rPr>
                <w:sz w:val="14"/>
              </w:rPr>
              <w:t>Izv.</w:t>
            </w: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line="168" w:lineRule="exact" w:before="0"/>
              <w:ind w:left="8"/>
              <w:jc w:val="left"/>
              <w:rPr>
                <w:sz w:val="14"/>
              </w:rPr>
            </w:pPr>
            <w:r>
              <w:rPr>
                <w:w w:val="100"/>
                <w:sz w:val="14"/>
              </w:rPr>
              <w:t>1</w:t>
            </w: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15" w:type="dxa"/>
            <w:tcBorders>
              <w:top w:val="single" w:sz="8" w:space="0" w:color="000000"/>
              <w:left w:val="single" w:sz="8" w:space="0" w:color="000000"/>
              <w:bottom w:val="single" w:sz="8"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8"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8"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323</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1.250,00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25,00%</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8"/>
              <w:jc w:val="left"/>
              <w:rPr>
                <w:sz w:val="16"/>
              </w:rPr>
            </w:pPr>
            <w:r>
              <w:rPr>
                <w:sz w:val="16"/>
              </w:rPr>
              <w:t>3234</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Komunalne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6"/>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5.000,00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1.250,00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25,00%</w:t>
            </w:r>
          </w:p>
        </w:tc>
      </w:tr>
      <w:tr>
        <w:trPr>
          <w:trHeight w:val="267"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457"/>
              <w:jc w:val="left"/>
              <w:rPr>
                <w:sz w:val="16"/>
              </w:rPr>
            </w:pPr>
            <w:r>
              <w:rPr>
                <w:sz w:val="16"/>
              </w:rPr>
              <w:t>386</w:t>
            </w:r>
          </w:p>
        </w:tc>
        <w:tc>
          <w:tcPr>
            <w:tcW w:w="401"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6"/>
              <w:jc w:val="left"/>
              <w:rPr>
                <w:sz w:val="16"/>
              </w:rPr>
            </w:pPr>
            <w:r>
              <w:rPr>
                <w:sz w:val="16"/>
              </w:rPr>
              <w:t>Kapitalne pomoći</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54"/>
              <w:rPr>
                <w:sz w:val="16"/>
              </w:rPr>
            </w:pPr>
            <w:r>
              <w:rPr>
                <w:sz w:val="16"/>
              </w:rPr>
              <w:t>100.000,00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58"/>
              <w:rPr>
                <w:sz w:val="16"/>
              </w:rPr>
            </w:pPr>
            <w:r>
              <w:rPr>
                <w:sz w:val="16"/>
              </w:rPr>
              <w:t>100.000,00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4"/>
              <w:rPr>
                <w:sz w:val="16"/>
              </w:rPr>
            </w:pPr>
            <w:r>
              <w:rPr>
                <w:sz w:val="16"/>
              </w:rPr>
              <w:t>0,00%</w:t>
            </w:r>
          </w:p>
        </w:tc>
      </w:tr>
      <w:tr>
        <w:trPr>
          <w:trHeight w:val="282" w:hRule="atLeast"/>
        </w:trPr>
        <w:tc>
          <w:tcPr>
            <w:tcW w:w="738" w:type="dxa"/>
            <w:gridSpan w:val="5"/>
            <w:tcBorders>
              <w:top w:val="single" w:sz="8" w:space="0" w:color="000000"/>
              <w:left w:val="nil"/>
              <w:bottom w:val="nil"/>
              <w:right w:val="single" w:sz="2" w:space="0" w:color="000000"/>
            </w:tcBorders>
          </w:tcPr>
          <w:p>
            <w:pPr>
              <w:pStyle w:val="TableParagraph"/>
              <w:ind w:left="368"/>
              <w:jc w:val="left"/>
              <w:rPr>
                <w:sz w:val="16"/>
              </w:rPr>
            </w:pPr>
            <w:r>
              <w:rPr>
                <w:sz w:val="16"/>
              </w:rPr>
              <w:t>3861</w:t>
            </w:r>
          </w:p>
        </w:tc>
        <w:tc>
          <w:tcPr>
            <w:tcW w:w="401" w:type="dxa"/>
            <w:gridSpan w:val="3"/>
            <w:tcBorders>
              <w:top w:val="single" w:sz="8" w:space="0" w:color="000000"/>
              <w:left w:val="single" w:sz="2" w:space="0" w:color="000000"/>
              <w:bottom w:val="nil"/>
              <w:right w:val="single" w:sz="2" w:space="0" w:color="000000"/>
            </w:tcBorders>
          </w:tcPr>
          <w:p>
            <w:pPr>
              <w:pStyle w:val="TableParagraph"/>
              <w:spacing w:before="0"/>
              <w:jc w:val="left"/>
              <w:rPr>
                <w:rFonts w:ascii="Times New Roman"/>
                <w:sz w:val="16"/>
              </w:rPr>
            </w:pPr>
          </w:p>
        </w:tc>
        <w:tc>
          <w:tcPr>
            <w:tcW w:w="7778" w:type="dxa"/>
            <w:tcBorders>
              <w:top w:val="single" w:sz="8" w:space="0" w:color="000000"/>
              <w:left w:val="single" w:sz="2" w:space="0" w:color="000000"/>
              <w:bottom w:val="nil"/>
              <w:right w:val="single" w:sz="2" w:space="0" w:color="000000"/>
            </w:tcBorders>
          </w:tcPr>
          <w:p>
            <w:pPr>
              <w:pStyle w:val="TableParagraph"/>
              <w:ind w:left="86"/>
              <w:jc w:val="left"/>
              <w:rPr>
                <w:sz w:val="16"/>
              </w:rPr>
            </w:pPr>
            <w:r>
              <w:rPr>
                <w:sz w:val="16"/>
              </w:rPr>
              <w:t>Kapitalne pomoći bankama i ostalim financijskim institucijama i trgovačkim društvima u javnom sektoru</w:t>
            </w:r>
          </w:p>
        </w:tc>
        <w:tc>
          <w:tcPr>
            <w:tcW w:w="1833" w:type="dxa"/>
            <w:tcBorders>
              <w:top w:val="single" w:sz="8" w:space="0" w:color="000000"/>
              <w:left w:val="single" w:sz="2" w:space="0" w:color="000000"/>
              <w:bottom w:val="nil"/>
              <w:right w:val="single" w:sz="2" w:space="0" w:color="000000"/>
            </w:tcBorders>
          </w:tcPr>
          <w:p>
            <w:pPr>
              <w:pStyle w:val="TableParagraph"/>
              <w:ind w:right="54"/>
              <w:rPr>
                <w:sz w:val="16"/>
              </w:rPr>
            </w:pPr>
            <w:r>
              <w:rPr>
                <w:sz w:val="16"/>
              </w:rPr>
              <w:t>100.000,00</w:t>
            </w:r>
          </w:p>
        </w:tc>
        <w:tc>
          <w:tcPr>
            <w:tcW w:w="1831" w:type="dxa"/>
            <w:tcBorders>
              <w:top w:val="single" w:sz="8" w:space="0" w:color="000000"/>
              <w:left w:val="single" w:sz="2" w:space="0" w:color="000000"/>
              <w:bottom w:val="nil"/>
              <w:right w:val="single" w:sz="2" w:space="0" w:color="000000"/>
            </w:tcBorders>
          </w:tcPr>
          <w:p>
            <w:pPr>
              <w:pStyle w:val="TableParagraph"/>
              <w:ind w:right="58"/>
              <w:rPr>
                <w:sz w:val="16"/>
              </w:rPr>
            </w:pPr>
            <w:r>
              <w:rPr>
                <w:sz w:val="16"/>
              </w:rPr>
              <w:t>100.000,00</w:t>
            </w:r>
          </w:p>
        </w:tc>
        <w:tc>
          <w:tcPr>
            <w:tcW w:w="1831" w:type="dxa"/>
            <w:tcBorders>
              <w:top w:val="single" w:sz="8" w:space="0" w:color="000000"/>
              <w:left w:val="single" w:sz="2" w:space="0" w:color="000000"/>
              <w:bottom w:val="nil"/>
              <w:right w:val="single" w:sz="2" w:space="0" w:color="000000"/>
            </w:tcBorders>
          </w:tcPr>
          <w:p>
            <w:pPr>
              <w:pStyle w:val="TableParagraph"/>
              <w:ind w:right="65"/>
              <w:rPr>
                <w:sz w:val="16"/>
              </w:rPr>
            </w:pPr>
            <w:r>
              <w:rPr>
                <w:sz w:val="16"/>
              </w:rPr>
              <w:t>0,00</w:t>
            </w:r>
          </w:p>
        </w:tc>
        <w:tc>
          <w:tcPr>
            <w:tcW w:w="1105" w:type="dxa"/>
            <w:tcBorders>
              <w:top w:val="single" w:sz="8" w:space="0" w:color="000000"/>
              <w:left w:val="single" w:sz="2" w:space="0" w:color="000000"/>
              <w:bottom w:val="nil"/>
              <w:right w:val="nil"/>
            </w:tcBorders>
          </w:tcPr>
          <w:p>
            <w:pPr>
              <w:pStyle w:val="TableParagraph"/>
              <w:ind w:right="54"/>
              <w:rPr>
                <w:sz w:val="16"/>
              </w:rPr>
            </w:pPr>
            <w:r>
              <w:rPr>
                <w:sz w:val="16"/>
              </w:rPr>
              <w:t>0,00%</w:t>
            </w:r>
          </w:p>
        </w:tc>
      </w:tr>
    </w:tbl>
    <w:p>
      <w:pPr>
        <w:spacing w:after="0"/>
        <w:rPr>
          <w:sz w:val="16"/>
        </w:rPr>
        <w:sectPr>
          <w:pgSz w:w="16840" w:h="11900" w:orient="landscape"/>
          <w:pgMar w:header="0" w:footer="721" w:top="1100" w:bottom="920" w:left="740" w:right="340"/>
        </w:sectPr>
      </w:pPr>
    </w:p>
    <w:p>
      <w:pPr>
        <w:pStyle w:val="BodyText"/>
        <w:spacing w:before="9"/>
        <w:rPr>
          <w:sz w:val="2"/>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
        <w:gridCol w:w="112"/>
        <w:gridCol w:w="113"/>
        <w:gridCol w:w="113"/>
        <w:gridCol w:w="113"/>
        <w:gridCol w:w="114"/>
        <w:gridCol w:w="112"/>
        <w:gridCol w:w="174"/>
        <w:gridCol w:w="7778"/>
        <w:gridCol w:w="1833"/>
        <w:gridCol w:w="1831"/>
        <w:gridCol w:w="1831"/>
        <w:gridCol w:w="1105"/>
      </w:tblGrid>
      <w:tr>
        <w:trPr>
          <w:trHeight w:val="828" w:hRule="atLeast"/>
        </w:trPr>
        <w:tc>
          <w:tcPr>
            <w:tcW w:w="15516" w:type="dxa"/>
            <w:gridSpan w:val="13"/>
            <w:tcBorders>
              <w:left w:val="nil"/>
              <w:bottom w:val="single" w:sz="8" w:space="0" w:color="000000"/>
              <w:right w:val="nil"/>
            </w:tcBorders>
            <w:shd w:val="clear" w:color="auto" w:fill="C0C0C0"/>
          </w:tcPr>
          <w:p>
            <w:pPr>
              <w:pStyle w:val="TableParagraph"/>
              <w:spacing w:before="56"/>
              <w:ind w:left="1431" w:right="1462"/>
              <w:jc w:val="center"/>
              <w:rPr>
                <w:rFonts w:ascii="Century" w:hAnsi="Century"/>
                <w:sz w:val="28"/>
              </w:rPr>
            </w:pPr>
            <w:r>
              <w:rPr>
                <w:rFonts w:ascii="Century" w:hAnsi="Century"/>
                <w:sz w:val="28"/>
              </w:rPr>
              <w:t>POLUGODIŠNJI IZVJEŠTAJ O IZVRŠENJU PRORAČUNA GRADA OZLJA ZA 2014. GODINU</w:t>
            </w:r>
          </w:p>
          <w:p>
            <w:pPr>
              <w:pStyle w:val="TableParagraph"/>
              <w:spacing w:before="67"/>
              <w:ind w:left="1437" w:right="1429"/>
              <w:jc w:val="center"/>
              <w:rPr>
                <w:rFonts w:ascii="Times New Roman"/>
                <w:sz w:val="22"/>
              </w:rPr>
            </w:pPr>
            <w:r>
              <w:rPr>
                <w:rFonts w:ascii="Times New Roman"/>
                <w:sz w:val="22"/>
              </w:rPr>
              <w:t>POSEBNI DIO- PROGRAMSKA KLASIFIKACIJA</w:t>
            </w:r>
          </w:p>
        </w:tc>
      </w:tr>
      <w:tr>
        <w:trPr>
          <w:trHeight w:val="846" w:hRule="atLeast"/>
        </w:trPr>
        <w:tc>
          <w:tcPr>
            <w:tcW w:w="1138" w:type="dxa"/>
            <w:gridSpan w:val="8"/>
            <w:tcBorders>
              <w:top w:val="single" w:sz="8" w:space="0" w:color="000000"/>
              <w:left w:val="nil"/>
              <w:bottom w:val="single" w:sz="8" w:space="0" w:color="000000"/>
              <w:right w:val="single" w:sz="2" w:space="0" w:color="000000"/>
            </w:tcBorders>
            <w:shd w:val="clear" w:color="auto" w:fill="C0C0C0"/>
          </w:tcPr>
          <w:p>
            <w:pPr>
              <w:pStyle w:val="TableParagraph"/>
              <w:spacing w:before="8"/>
              <w:ind w:left="247" w:right="235" w:hanging="5"/>
              <w:jc w:val="center"/>
              <w:rPr>
                <w:sz w:val="20"/>
              </w:rPr>
            </w:pPr>
            <w:r>
              <w:rPr>
                <w:sz w:val="20"/>
              </w:rPr>
              <w:t>Račun/ </w:t>
            </w:r>
            <w:r>
              <w:rPr>
                <w:w w:val="95"/>
                <w:sz w:val="20"/>
              </w:rPr>
              <w:t>Pozicija</w:t>
            </w:r>
          </w:p>
          <w:p>
            <w:pPr>
              <w:pStyle w:val="TableParagraph"/>
              <w:spacing w:before="84"/>
              <w:ind w:left="158"/>
              <w:jc w:val="center"/>
              <w:rPr>
                <w:sz w:val="18"/>
              </w:rPr>
            </w:pPr>
            <w:r>
              <w:rPr>
                <w:w w:val="100"/>
                <w:sz w:val="18"/>
              </w:rPr>
              <w:t>1</w:t>
            </w:r>
          </w:p>
        </w:tc>
        <w:tc>
          <w:tcPr>
            <w:tcW w:w="7778"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8"/>
              <w:ind w:left="3653" w:right="3672"/>
              <w:jc w:val="center"/>
              <w:rPr>
                <w:sz w:val="20"/>
              </w:rPr>
            </w:pPr>
            <w:r>
              <w:rPr>
                <w:sz w:val="20"/>
              </w:rPr>
              <w:t>Opis</w:t>
            </w:r>
          </w:p>
          <w:p>
            <w:pPr>
              <w:pStyle w:val="TableParagraph"/>
              <w:spacing w:before="4"/>
              <w:jc w:val="left"/>
              <w:rPr>
                <w:rFonts w:ascii="Times New Roman"/>
                <w:sz w:val="28"/>
              </w:rPr>
            </w:pPr>
          </w:p>
          <w:p>
            <w:pPr>
              <w:pStyle w:val="TableParagraph"/>
              <w:spacing w:before="0"/>
              <w:ind w:right="7"/>
              <w:jc w:val="center"/>
              <w:rPr>
                <w:sz w:val="18"/>
              </w:rPr>
            </w:pPr>
            <w:r>
              <w:rPr>
                <w:w w:val="100"/>
                <w:sz w:val="18"/>
              </w:rPr>
              <w:t>2</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96" w:right="138"/>
              <w:jc w:val="center"/>
              <w:rPr>
                <w:sz w:val="20"/>
              </w:rPr>
            </w:pPr>
            <w:r>
              <w:rPr>
                <w:sz w:val="20"/>
              </w:rPr>
              <w:t>Izvorni plan za 2014. godinu</w:t>
            </w:r>
          </w:p>
          <w:p>
            <w:pPr>
              <w:pStyle w:val="TableParagraph"/>
              <w:spacing w:before="89"/>
              <w:ind w:left="22"/>
              <w:jc w:val="center"/>
              <w:rPr>
                <w:sz w:val="18"/>
              </w:rPr>
            </w:pPr>
            <w:r>
              <w:rPr>
                <w:w w:val="100"/>
                <w:sz w:val="18"/>
              </w:rPr>
              <w:t>3</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13"/>
              <w:ind w:left="80" w:right="131"/>
              <w:jc w:val="center"/>
              <w:rPr>
                <w:sz w:val="20"/>
              </w:rPr>
            </w:pPr>
            <w:r>
              <w:rPr>
                <w:sz w:val="20"/>
              </w:rPr>
              <w:t>Tekući plan za 2014. godinu</w:t>
            </w:r>
          </w:p>
          <w:p>
            <w:pPr>
              <w:pStyle w:val="TableParagraph"/>
              <w:spacing w:before="89"/>
              <w:ind w:left="11"/>
              <w:jc w:val="center"/>
              <w:rPr>
                <w:sz w:val="18"/>
              </w:rPr>
            </w:pPr>
            <w:r>
              <w:rPr>
                <w:w w:val="100"/>
                <w:sz w:val="18"/>
              </w:rPr>
              <w:t>4</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line="241" w:lineRule="exact" w:before="13"/>
              <w:ind w:left="135" w:right="131"/>
              <w:jc w:val="center"/>
              <w:rPr>
                <w:sz w:val="20"/>
              </w:rPr>
            </w:pPr>
            <w:r>
              <w:rPr>
                <w:sz w:val="20"/>
              </w:rPr>
              <w:t>Izvršenje 01.01.-</w:t>
            </w:r>
          </w:p>
          <w:p>
            <w:pPr>
              <w:pStyle w:val="TableParagraph"/>
              <w:spacing w:line="241" w:lineRule="exact" w:before="0"/>
              <w:ind w:left="138" w:right="131"/>
              <w:jc w:val="center"/>
              <w:rPr>
                <w:sz w:val="20"/>
              </w:rPr>
            </w:pPr>
            <w:r>
              <w:rPr>
                <w:sz w:val="20"/>
              </w:rPr>
              <w:t>30.06.2014.</w:t>
            </w:r>
          </w:p>
          <w:p>
            <w:pPr>
              <w:pStyle w:val="TableParagraph"/>
              <w:spacing w:before="90"/>
              <w:ind w:left="6"/>
              <w:jc w:val="center"/>
              <w:rPr>
                <w:sz w:val="18"/>
              </w:rPr>
            </w:pPr>
            <w:r>
              <w:rPr>
                <w:w w:val="100"/>
                <w:sz w:val="18"/>
              </w:rPr>
              <w:t>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13"/>
              <w:ind w:left="252" w:right="235"/>
              <w:jc w:val="center"/>
              <w:rPr>
                <w:sz w:val="20"/>
              </w:rPr>
            </w:pPr>
            <w:r>
              <w:rPr>
                <w:w w:val="95"/>
                <w:sz w:val="20"/>
              </w:rPr>
              <w:t>Indeks </w:t>
            </w:r>
            <w:r>
              <w:rPr>
                <w:sz w:val="20"/>
              </w:rPr>
              <w:t>5/4</w:t>
            </w:r>
          </w:p>
          <w:p>
            <w:pPr>
              <w:pStyle w:val="TableParagraph"/>
              <w:spacing w:before="89"/>
              <w:ind w:left="20"/>
              <w:jc w:val="center"/>
              <w:rPr>
                <w:sz w:val="18"/>
              </w:rPr>
            </w:pPr>
            <w:r>
              <w:rPr>
                <w:w w:val="100"/>
                <w:sz w:val="18"/>
              </w:rPr>
              <w:t>6</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A401412</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hAnsi="Verdana"/>
                <w:sz w:val="16"/>
              </w:rPr>
            </w:pPr>
            <w:r>
              <w:rPr>
                <w:rFonts w:ascii="Verdana" w:hAnsi="Verdana"/>
                <w:sz w:val="16"/>
              </w:rPr>
              <w:t>UPRAVLJANJE CENTROM ZA GOSPODARENJE OTPADOM KARLOVAČKE ŽUPANIJE</w:t>
            </w:r>
          </w:p>
          <w:p>
            <w:pPr>
              <w:pStyle w:val="TableParagraph"/>
              <w:spacing w:before="45"/>
              <w:ind w:left="73"/>
              <w:jc w:val="left"/>
              <w:rPr>
                <w:sz w:val="14"/>
              </w:rPr>
            </w:pPr>
            <w:r>
              <w:rPr>
                <w:sz w:val="14"/>
              </w:rPr>
              <w:t>Funkcija: 0511 Upravljanje otpadom (KS)</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32.000,00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0"/>
              <w:jc w:val="left"/>
              <w:rPr>
                <w:rFonts w:ascii="Verdana"/>
                <w:sz w:val="16"/>
              </w:rPr>
            </w:pPr>
            <w:r>
              <w:rPr>
                <w:rFonts w:ascii="Verdana"/>
                <w:sz w:val="16"/>
              </w:rPr>
              <w:t>32.000,00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right="63"/>
              <w:rPr>
                <w:rFonts w:ascii="Verdana"/>
                <w:sz w:val="16"/>
              </w:rPr>
            </w:pPr>
            <w:r>
              <w:rPr>
                <w:rFonts w:ascii="Verdana"/>
                <w:sz w:val="16"/>
              </w:rPr>
              <w:t>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492"/>
              <w:jc w:val="left"/>
              <w:rPr>
                <w:rFonts w:ascii="Verdana"/>
                <w:sz w:val="16"/>
              </w:rPr>
            </w:pPr>
            <w:r>
              <w:rPr>
                <w:rFonts w:ascii="Verdana"/>
                <w:sz w:val="16"/>
              </w:rPr>
              <w:t>0,00%</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2"/>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1"/>
              <w:jc w:val="left"/>
              <w:rPr>
                <w:sz w:val="16"/>
              </w:rPr>
            </w:pPr>
            <w:r>
              <w:rPr>
                <w:sz w:val="16"/>
              </w:rPr>
              <w:t>351</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1"/>
              <w:jc w:val="left"/>
              <w:rPr>
                <w:sz w:val="16"/>
              </w:rPr>
            </w:pPr>
            <w:r>
              <w:rPr>
                <w:sz w:val="16"/>
              </w:rPr>
              <w:t>Subvencije trgovačkim društvima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61"/>
              <w:rPr>
                <w:sz w:val="16"/>
              </w:rPr>
            </w:pPr>
            <w:r>
              <w:rPr>
                <w:sz w:val="16"/>
              </w:rPr>
              <w:t>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3"/>
              <w:rPr>
                <w:sz w:val="16"/>
              </w:rPr>
            </w:pPr>
            <w:r>
              <w:rPr>
                <w:sz w:val="16"/>
              </w:rPr>
              <w:t>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9"/>
              <w:rPr>
                <w:sz w:val="16"/>
              </w:rPr>
            </w:pPr>
            <w:r>
              <w:rPr>
                <w:sz w:val="16"/>
              </w:rPr>
              <w:t>0,00%</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3512</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Subvencije trgovačkim društvima u javnom sektoru</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32.000,00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70"/>
              <w:rPr>
                <w:sz w:val="16"/>
              </w:rPr>
            </w:pPr>
            <w:r>
              <w:rPr>
                <w:sz w:val="16"/>
              </w:rPr>
              <w:t>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0,00%</w:t>
            </w:r>
          </w:p>
        </w:tc>
      </w:tr>
      <w:tr>
        <w:trPr>
          <w:trHeight w:val="503" w:hRule="atLeast"/>
        </w:trPr>
        <w:tc>
          <w:tcPr>
            <w:tcW w:w="1138" w:type="dxa"/>
            <w:gridSpan w:val="8"/>
            <w:tcBorders>
              <w:top w:val="single" w:sz="8" w:space="0" w:color="000000"/>
              <w:left w:val="nil"/>
              <w:bottom w:val="single" w:sz="8" w:space="0" w:color="000000"/>
              <w:right w:val="single" w:sz="2" w:space="0" w:color="000000"/>
            </w:tcBorders>
            <w:shd w:val="clear" w:color="auto" w:fill="969696"/>
          </w:tcPr>
          <w:p>
            <w:pPr>
              <w:pStyle w:val="TableParagraph"/>
              <w:spacing w:before="9"/>
              <w:ind w:left="21"/>
              <w:jc w:val="left"/>
              <w:rPr>
                <w:rFonts w:ascii="Verdana"/>
                <w:sz w:val="16"/>
              </w:rPr>
            </w:pPr>
            <w:r>
              <w:rPr>
                <w:rFonts w:ascii="Verdana"/>
                <w:sz w:val="16"/>
              </w:rPr>
              <w:t>Program</w:t>
            </w:r>
          </w:p>
          <w:p>
            <w:pPr>
              <w:pStyle w:val="TableParagraph"/>
              <w:spacing w:before="31"/>
              <w:ind w:left="712"/>
              <w:jc w:val="left"/>
              <w:rPr>
                <w:rFonts w:ascii="Verdana"/>
                <w:sz w:val="16"/>
              </w:rPr>
            </w:pPr>
            <w:r>
              <w:rPr>
                <w:rFonts w:ascii="Verdana"/>
                <w:sz w:val="16"/>
              </w:rPr>
              <w:t>4015</w:t>
            </w:r>
          </w:p>
        </w:tc>
        <w:tc>
          <w:tcPr>
            <w:tcW w:w="7778"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left="73"/>
              <w:jc w:val="left"/>
              <w:rPr>
                <w:rFonts w:ascii="Verdana" w:hAnsi="Verdana"/>
                <w:sz w:val="20"/>
              </w:rPr>
            </w:pPr>
            <w:r>
              <w:rPr>
                <w:rFonts w:ascii="Verdana" w:hAnsi="Verdana"/>
                <w:sz w:val="20"/>
              </w:rPr>
              <w:t>PROGRAM ENERGETSKI ODRŽIVOG RAZVOJA GRADA OZLJA</w:t>
            </w:r>
          </w:p>
        </w:tc>
        <w:tc>
          <w:tcPr>
            <w:tcW w:w="1833"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6"/>
              <w:rPr>
                <w:rFonts w:ascii="Verdana"/>
                <w:sz w:val="20"/>
              </w:rPr>
            </w:pPr>
            <w:r>
              <w:rPr>
                <w:rFonts w:ascii="Verdana"/>
                <w:sz w:val="20"/>
              </w:rPr>
              <w:t>71.000,00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78"/>
              <w:rPr>
                <w:rFonts w:ascii="Verdana"/>
                <w:sz w:val="20"/>
              </w:rPr>
            </w:pPr>
            <w:r>
              <w:rPr>
                <w:rFonts w:ascii="Verdana"/>
                <w:sz w:val="20"/>
              </w:rPr>
              <w:t>71.000,00</w:t>
            </w:r>
          </w:p>
        </w:tc>
        <w:tc>
          <w:tcPr>
            <w:tcW w:w="1831" w:type="dxa"/>
            <w:tcBorders>
              <w:top w:val="single" w:sz="8" w:space="0" w:color="000000"/>
              <w:left w:val="single" w:sz="2" w:space="0" w:color="000000"/>
              <w:bottom w:val="single" w:sz="8" w:space="0" w:color="000000"/>
              <w:right w:val="single" w:sz="2" w:space="0" w:color="000000"/>
            </w:tcBorders>
            <w:shd w:val="clear" w:color="auto" w:fill="969696"/>
          </w:tcPr>
          <w:p>
            <w:pPr>
              <w:pStyle w:val="TableParagraph"/>
              <w:spacing w:before="7"/>
              <w:ind w:right="80"/>
              <w:rPr>
                <w:rFonts w:ascii="Verdana"/>
                <w:sz w:val="20"/>
              </w:rPr>
            </w:pPr>
            <w:r>
              <w:rPr>
                <w:rFonts w:ascii="Verdana"/>
                <w:sz w:val="20"/>
              </w:rPr>
              <w:t>26.800,00</w:t>
            </w:r>
          </w:p>
        </w:tc>
        <w:tc>
          <w:tcPr>
            <w:tcW w:w="1105" w:type="dxa"/>
            <w:tcBorders>
              <w:top w:val="single" w:sz="8" w:space="0" w:color="000000"/>
              <w:left w:val="single" w:sz="2" w:space="0" w:color="000000"/>
              <w:bottom w:val="single" w:sz="8" w:space="0" w:color="000000"/>
              <w:right w:val="nil"/>
            </w:tcBorders>
            <w:shd w:val="clear" w:color="auto" w:fill="969696"/>
          </w:tcPr>
          <w:p>
            <w:pPr>
              <w:pStyle w:val="TableParagraph"/>
              <w:spacing w:before="7"/>
              <w:ind w:right="66"/>
              <w:rPr>
                <w:rFonts w:ascii="Verdana"/>
                <w:sz w:val="20"/>
              </w:rPr>
            </w:pPr>
            <w:r>
              <w:rPr>
                <w:rFonts w:ascii="Verdana"/>
                <w:sz w:val="20"/>
              </w:rPr>
              <w:t>37,75%</w:t>
            </w:r>
          </w:p>
        </w:tc>
      </w:tr>
      <w:tr>
        <w:trPr>
          <w:trHeight w:val="236" w:hRule="atLeast"/>
        </w:trPr>
        <w:tc>
          <w:tcPr>
            <w:tcW w:w="1138" w:type="dxa"/>
            <w:gridSpan w:val="8"/>
            <w:tcBorders>
              <w:top w:val="single" w:sz="8" w:space="0" w:color="000000"/>
              <w:left w:val="nil"/>
              <w:bottom w:val="nil"/>
              <w:right w:val="single" w:sz="2" w:space="0" w:color="000000"/>
            </w:tcBorders>
            <w:shd w:val="clear" w:color="auto" w:fill="C0C0C0"/>
          </w:tcPr>
          <w:p>
            <w:pPr>
              <w:pStyle w:val="TableParagraph"/>
              <w:spacing w:before="9"/>
              <w:ind w:left="21" w:right="-15"/>
              <w:jc w:val="left"/>
              <w:rPr>
                <w:rFonts w:ascii="Verdana"/>
                <w:sz w:val="16"/>
              </w:rPr>
            </w:pPr>
            <w:r>
              <w:rPr>
                <w:rFonts w:ascii="Verdana"/>
                <w:sz w:val="16"/>
              </w:rPr>
              <w:t>Akt.</w:t>
            </w:r>
            <w:r>
              <w:rPr>
                <w:rFonts w:ascii="Verdana"/>
                <w:spacing w:val="11"/>
                <w:sz w:val="16"/>
              </w:rPr>
              <w:t> </w:t>
            </w:r>
            <w:r>
              <w:rPr>
                <w:rFonts w:ascii="Verdana"/>
                <w:sz w:val="16"/>
              </w:rPr>
              <w:t>A401510</w:t>
            </w:r>
          </w:p>
        </w:tc>
        <w:tc>
          <w:tcPr>
            <w:tcW w:w="7778"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73"/>
              <w:jc w:val="left"/>
              <w:rPr>
                <w:rFonts w:ascii="Verdana" w:hAnsi="Verdana"/>
                <w:sz w:val="16"/>
              </w:rPr>
            </w:pPr>
            <w:r>
              <w:rPr>
                <w:rFonts w:ascii="Verdana" w:hAnsi="Verdana"/>
                <w:w w:val="105"/>
                <w:sz w:val="16"/>
              </w:rPr>
              <w:t>PRIPREMA I PROVOĐENJE PROJEKATA</w:t>
            </w:r>
          </w:p>
          <w:p>
            <w:pPr>
              <w:pStyle w:val="TableParagraph"/>
              <w:spacing w:before="45"/>
              <w:ind w:left="73"/>
              <w:jc w:val="left"/>
              <w:rPr>
                <w:sz w:val="14"/>
              </w:rPr>
            </w:pPr>
            <w:r>
              <w:rPr>
                <w:sz w:val="14"/>
              </w:rPr>
              <w:t>Funkcija: 0531 Smanjenje zagađivanja (KS)</w:t>
            </w:r>
          </w:p>
        </w:tc>
        <w:tc>
          <w:tcPr>
            <w:tcW w:w="1833"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5"/>
              <w:jc w:val="left"/>
              <w:rPr>
                <w:rFonts w:ascii="Verdana"/>
                <w:sz w:val="16"/>
              </w:rPr>
            </w:pPr>
            <w:r>
              <w:rPr>
                <w:rFonts w:ascii="Verdana"/>
                <w:sz w:val="16"/>
              </w:rPr>
              <w:t>71.000,00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50"/>
              <w:jc w:val="left"/>
              <w:rPr>
                <w:rFonts w:ascii="Verdana"/>
                <w:sz w:val="16"/>
              </w:rPr>
            </w:pPr>
            <w:r>
              <w:rPr>
                <w:rFonts w:ascii="Verdana"/>
                <w:sz w:val="16"/>
              </w:rPr>
              <w:t>71.000,00</w:t>
            </w:r>
          </w:p>
        </w:tc>
        <w:tc>
          <w:tcPr>
            <w:tcW w:w="1831" w:type="dxa"/>
            <w:vMerge w:val="restart"/>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9"/>
              <w:ind w:left="946"/>
              <w:jc w:val="left"/>
              <w:rPr>
                <w:rFonts w:ascii="Verdana"/>
                <w:sz w:val="16"/>
              </w:rPr>
            </w:pPr>
            <w:r>
              <w:rPr>
                <w:rFonts w:ascii="Verdana"/>
                <w:sz w:val="16"/>
              </w:rPr>
              <w:t>26.800,00</w:t>
            </w:r>
          </w:p>
        </w:tc>
        <w:tc>
          <w:tcPr>
            <w:tcW w:w="1105" w:type="dxa"/>
            <w:vMerge w:val="restart"/>
            <w:tcBorders>
              <w:top w:val="single" w:sz="8" w:space="0" w:color="000000"/>
              <w:left w:val="single" w:sz="2" w:space="0" w:color="000000"/>
              <w:bottom w:val="single" w:sz="8" w:space="0" w:color="000000"/>
              <w:right w:val="nil"/>
            </w:tcBorders>
            <w:shd w:val="clear" w:color="auto" w:fill="C0C0C0"/>
          </w:tcPr>
          <w:p>
            <w:pPr>
              <w:pStyle w:val="TableParagraph"/>
              <w:spacing w:before="9"/>
              <w:ind w:left="392"/>
              <w:jc w:val="left"/>
              <w:rPr>
                <w:rFonts w:ascii="Verdana"/>
                <w:sz w:val="16"/>
              </w:rPr>
            </w:pPr>
            <w:r>
              <w:rPr>
                <w:rFonts w:ascii="Verdana"/>
                <w:sz w:val="16"/>
              </w:rPr>
              <w:t>37,75%</w:t>
            </w:r>
          </w:p>
        </w:tc>
      </w:tr>
      <w:tr>
        <w:trPr>
          <w:trHeight w:val="186" w:hRule="atLeast"/>
        </w:trPr>
        <w:tc>
          <w:tcPr>
            <w:tcW w:w="287" w:type="dxa"/>
            <w:tcBorders>
              <w:top w:val="nil"/>
              <w:left w:val="nil"/>
              <w:bottom w:val="single" w:sz="8" w:space="0" w:color="000000"/>
              <w:right w:val="single" w:sz="12" w:space="0" w:color="000000"/>
            </w:tcBorders>
            <w:shd w:val="clear" w:color="auto" w:fill="C0C0C0"/>
          </w:tcPr>
          <w:p>
            <w:pPr>
              <w:pStyle w:val="TableParagraph"/>
              <w:spacing w:line="158" w:lineRule="exact" w:before="8"/>
              <w:jc w:val="center"/>
              <w:rPr>
                <w:sz w:val="14"/>
              </w:rPr>
            </w:pPr>
            <w:r>
              <w:rPr>
                <w:sz w:val="14"/>
              </w:rPr>
              <w:t>Izv.</w:t>
            </w: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line="166" w:lineRule="exact" w:before="0"/>
              <w:ind w:left="2"/>
              <w:jc w:val="left"/>
              <w:rPr>
                <w:sz w:val="14"/>
              </w:rPr>
            </w:pPr>
            <w:r>
              <w:rPr>
                <w:w w:val="100"/>
                <w:sz w:val="14"/>
              </w:rPr>
              <w:t>1</w:t>
            </w: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13" w:type="dxa"/>
            <w:tcBorders>
              <w:top w:val="single" w:sz="8" w:space="0" w:color="000000"/>
              <w:left w:val="single" w:sz="8" w:space="0" w:color="000000"/>
              <w:bottom w:val="single" w:sz="12" w:space="0" w:color="000000"/>
              <w:right w:val="single" w:sz="8" w:space="0" w:color="000000"/>
            </w:tcBorders>
            <w:shd w:val="clear" w:color="auto" w:fill="C0C0C0"/>
          </w:tcPr>
          <w:p>
            <w:pPr>
              <w:pStyle w:val="TableParagraph"/>
              <w:spacing w:line="166" w:lineRule="exact" w:before="0"/>
              <w:ind w:left="8"/>
              <w:jc w:val="left"/>
              <w:rPr>
                <w:sz w:val="14"/>
              </w:rPr>
            </w:pPr>
            <w:r>
              <w:rPr>
                <w:w w:val="100"/>
                <w:sz w:val="14"/>
              </w:rPr>
              <w:t>4</w:t>
            </w:r>
          </w:p>
        </w:tc>
        <w:tc>
          <w:tcPr>
            <w:tcW w:w="114" w:type="dxa"/>
            <w:tcBorders>
              <w:top w:val="single" w:sz="8" w:space="0" w:color="000000"/>
              <w:left w:val="single" w:sz="8" w:space="0" w:color="000000"/>
              <w:bottom w:val="single" w:sz="12" w:space="0" w:color="000000"/>
              <w:right w:val="single" w:sz="12" w:space="0" w:color="000000"/>
            </w:tcBorders>
            <w:shd w:val="clear" w:color="auto" w:fill="C0C0C0"/>
          </w:tcPr>
          <w:p>
            <w:pPr>
              <w:pStyle w:val="TableParagraph"/>
              <w:spacing w:before="0"/>
              <w:jc w:val="left"/>
              <w:rPr>
                <w:rFonts w:ascii="Times New Roman"/>
                <w:sz w:val="12"/>
              </w:rPr>
            </w:pPr>
          </w:p>
        </w:tc>
        <w:tc>
          <w:tcPr>
            <w:tcW w:w="112" w:type="dxa"/>
            <w:tcBorders>
              <w:top w:val="single" w:sz="8" w:space="0" w:color="000000"/>
              <w:left w:val="single" w:sz="12" w:space="0" w:color="000000"/>
              <w:bottom w:val="single" w:sz="12" w:space="0" w:color="000000"/>
              <w:right w:val="single" w:sz="8" w:space="0" w:color="000000"/>
            </w:tcBorders>
            <w:shd w:val="clear" w:color="auto" w:fill="C0C0C0"/>
          </w:tcPr>
          <w:p>
            <w:pPr>
              <w:pStyle w:val="TableParagraph"/>
              <w:spacing w:before="0"/>
              <w:jc w:val="left"/>
              <w:rPr>
                <w:rFonts w:ascii="Times New Roman"/>
                <w:sz w:val="12"/>
              </w:rPr>
            </w:pPr>
          </w:p>
        </w:tc>
        <w:tc>
          <w:tcPr>
            <w:tcW w:w="174" w:type="dxa"/>
            <w:tcBorders>
              <w:top w:val="single" w:sz="8" w:space="0" w:color="000000"/>
              <w:left w:val="single" w:sz="8" w:space="0" w:color="000000"/>
              <w:bottom w:val="single" w:sz="12" w:space="0" w:color="000000"/>
              <w:right w:val="single" w:sz="2" w:space="0" w:color="000000"/>
            </w:tcBorders>
            <w:shd w:val="clear" w:color="auto" w:fill="C0C0C0"/>
          </w:tcPr>
          <w:p>
            <w:pPr>
              <w:pStyle w:val="TableParagraph"/>
              <w:spacing w:before="0"/>
              <w:jc w:val="left"/>
              <w:rPr>
                <w:rFonts w:ascii="Times New Roman"/>
                <w:sz w:val="12"/>
              </w:rPr>
            </w:pPr>
          </w:p>
        </w:tc>
        <w:tc>
          <w:tcPr>
            <w:tcW w:w="7778"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3"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831" w:type="dxa"/>
            <w:vMerge/>
            <w:tcBorders>
              <w:top w:val="nil"/>
              <w:left w:val="single" w:sz="2" w:space="0" w:color="000000"/>
              <w:bottom w:val="single" w:sz="8" w:space="0" w:color="000000"/>
              <w:right w:val="single" w:sz="2" w:space="0" w:color="000000"/>
            </w:tcBorders>
            <w:shd w:val="clear" w:color="auto" w:fill="C0C0C0"/>
          </w:tcPr>
          <w:p>
            <w:pPr>
              <w:rPr>
                <w:sz w:val="2"/>
                <w:szCs w:val="2"/>
              </w:rPr>
            </w:pPr>
          </w:p>
        </w:tc>
        <w:tc>
          <w:tcPr>
            <w:tcW w:w="1105" w:type="dxa"/>
            <w:vMerge/>
            <w:tcBorders>
              <w:top w:val="nil"/>
              <w:left w:val="single" w:sz="2" w:space="0" w:color="000000"/>
              <w:bottom w:val="single" w:sz="8" w:space="0" w:color="000000"/>
              <w:right w:val="nil"/>
            </w:tcBorders>
            <w:shd w:val="clear" w:color="auto" w:fill="C0C0C0"/>
          </w:tcPr>
          <w:p>
            <w:pPr>
              <w:rPr>
                <w:sz w:val="2"/>
                <w:szCs w:val="2"/>
              </w:rPr>
            </w:pPr>
          </w:p>
        </w:tc>
      </w:tr>
      <w:tr>
        <w:trPr>
          <w:trHeight w:val="262" w:hRule="atLeast"/>
        </w:trPr>
        <w:tc>
          <w:tcPr>
            <w:tcW w:w="738" w:type="dxa"/>
            <w:gridSpan w:val="5"/>
            <w:tcBorders>
              <w:top w:val="single" w:sz="12" w:space="0" w:color="000000"/>
              <w:left w:val="nil"/>
              <w:bottom w:val="single" w:sz="8" w:space="0" w:color="000000"/>
              <w:right w:val="single" w:sz="2" w:space="0" w:color="000000"/>
            </w:tcBorders>
          </w:tcPr>
          <w:p>
            <w:pPr>
              <w:pStyle w:val="TableParagraph"/>
              <w:spacing w:before="5"/>
              <w:ind w:left="451"/>
              <w:jc w:val="left"/>
              <w:rPr>
                <w:sz w:val="16"/>
              </w:rPr>
            </w:pPr>
            <w:r>
              <w:rPr>
                <w:sz w:val="16"/>
              </w:rPr>
              <w:t>323</w:t>
            </w:r>
          </w:p>
        </w:tc>
        <w:tc>
          <w:tcPr>
            <w:tcW w:w="400" w:type="dxa"/>
            <w:gridSpan w:val="3"/>
            <w:tcBorders>
              <w:top w:val="single" w:sz="12"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spacing w:before="5"/>
              <w:ind w:left="81"/>
              <w:jc w:val="left"/>
              <w:rPr>
                <w:sz w:val="16"/>
              </w:rPr>
            </w:pPr>
            <w:r>
              <w:rPr>
                <w:sz w:val="16"/>
              </w:rPr>
              <w:t>Rashodi za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spacing w:before="5"/>
              <w:ind w:right="61"/>
              <w:rPr>
                <w:sz w:val="16"/>
              </w:rPr>
            </w:pPr>
            <w:r>
              <w:rPr>
                <w:sz w:val="16"/>
              </w:rPr>
              <w:t>71.000,00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3"/>
              <w:rPr>
                <w:sz w:val="16"/>
              </w:rPr>
            </w:pPr>
            <w:r>
              <w:rPr>
                <w:sz w:val="16"/>
              </w:rPr>
              <w:t>71.000,00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spacing w:before="5"/>
              <w:ind w:right="65"/>
              <w:rPr>
                <w:sz w:val="16"/>
              </w:rPr>
            </w:pPr>
            <w:r>
              <w:rPr>
                <w:sz w:val="16"/>
              </w:rPr>
              <w:t>26.800,00</w:t>
            </w:r>
          </w:p>
        </w:tc>
        <w:tc>
          <w:tcPr>
            <w:tcW w:w="1105" w:type="dxa"/>
            <w:tcBorders>
              <w:top w:val="single" w:sz="8" w:space="0" w:color="000000"/>
              <w:left w:val="single" w:sz="2" w:space="0" w:color="000000"/>
              <w:bottom w:val="single" w:sz="8" w:space="0" w:color="000000"/>
              <w:right w:val="nil"/>
            </w:tcBorders>
          </w:tcPr>
          <w:p>
            <w:pPr>
              <w:pStyle w:val="TableParagraph"/>
              <w:spacing w:before="5"/>
              <w:ind w:right="59"/>
              <w:rPr>
                <w:sz w:val="16"/>
              </w:rPr>
            </w:pPr>
            <w:r>
              <w:rPr>
                <w:sz w:val="16"/>
              </w:rPr>
              <w:t>37,75%</w:t>
            </w:r>
          </w:p>
        </w:tc>
      </w:tr>
      <w:tr>
        <w:trPr>
          <w:trHeight w:val="265" w:hRule="atLeast"/>
        </w:trPr>
        <w:tc>
          <w:tcPr>
            <w:tcW w:w="738" w:type="dxa"/>
            <w:gridSpan w:val="5"/>
            <w:tcBorders>
              <w:top w:val="single" w:sz="8" w:space="0" w:color="000000"/>
              <w:left w:val="nil"/>
              <w:bottom w:val="single" w:sz="8" w:space="0" w:color="000000"/>
              <w:right w:val="single" w:sz="2" w:space="0" w:color="000000"/>
            </w:tcBorders>
          </w:tcPr>
          <w:p>
            <w:pPr>
              <w:pStyle w:val="TableParagraph"/>
              <w:ind w:left="362"/>
              <w:jc w:val="left"/>
              <w:rPr>
                <w:sz w:val="16"/>
              </w:rPr>
            </w:pPr>
            <w:r>
              <w:rPr>
                <w:sz w:val="16"/>
              </w:rPr>
              <w:t>3237</w:t>
            </w:r>
          </w:p>
        </w:tc>
        <w:tc>
          <w:tcPr>
            <w:tcW w:w="400" w:type="dxa"/>
            <w:gridSpan w:val="3"/>
            <w:tcBorders>
              <w:top w:val="single" w:sz="8" w:space="0" w:color="000000"/>
              <w:left w:val="single" w:sz="2" w:space="0" w:color="000000"/>
              <w:bottom w:val="single" w:sz="8" w:space="0" w:color="000000"/>
              <w:right w:val="single" w:sz="2" w:space="0" w:color="000000"/>
            </w:tcBorders>
          </w:tcPr>
          <w:p>
            <w:pPr>
              <w:pStyle w:val="TableParagraph"/>
              <w:spacing w:before="0"/>
              <w:jc w:val="left"/>
              <w:rPr>
                <w:rFonts w:ascii="Times New Roman"/>
                <w:sz w:val="18"/>
              </w:rPr>
            </w:pPr>
          </w:p>
        </w:tc>
        <w:tc>
          <w:tcPr>
            <w:tcW w:w="7778" w:type="dxa"/>
            <w:tcBorders>
              <w:top w:val="single" w:sz="8" w:space="0" w:color="000000"/>
              <w:left w:val="single" w:sz="2" w:space="0" w:color="000000"/>
              <w:bottom w:val="single" w:sz="8" w:space="0" w:color="000000"/>
              <w:right w:val="single" w:sz="2" w:space="0" w:color="000000"/>
            </w:tcBorders>
          </w:tcPr>
          <w:p>
            <w:pPr>
              <w:pStyle w:val="TableParagraph"/>
              <w:ind w:left="81"/>
              <w:jc w:val="left"/>
              <w:rPr>
                <w:sz w:val="16"/>
              </w:rPr>
            </w:pPr>
            <w:r>
              <w:rPr>
                <w:sz w:val="16"/>
              </w:rPr>
              <w:t>Intelektualne i osobne usluge</w:t>
            </w:r>
          </w:p>
        </w:tc>
        <w:tc>
          <w:tcPr>
            <w:tcW w:w="1833" w:type="dxa"/>
            <w:tcBorders>
              <w:top w:val="single" w:sz="8" w:space="0" w:color="000000"/>
              <w:left w:val="single" w:sz="2" w:space="0" w:color="000000"/>
              <w:bottom w:val="single" w:sz="8" w:space="0" w:color="000000"/>
              <w:right w:val="single" w:sz="2" w:space="0" w:color="000000"/>
            </w:tcBorders>
          </w:tcPr>
          <w:p>
            <w:pPr>
              <w:pStyle w:val="TableParagraph"/>
              <w:ind w:right="61"/>
              <w:rPr>
                <w:sz w:val="16"/>
              </w:rPr>
            </w:pPr>
            <w:r>
              <w:rPr>
                <w:sz w:val="16"/>
              </w:rPr>
              <w:t>71.000,00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3"/>
              <w:rPr>
                <w:sz w:val="16"/>
              </w:rPr>
            </w:pPr>
            <w:r>
              <w:rPr>
                <w:sz w:val="16"/>
              </w:rPr>
              <w:t>71.000,00</w:t>
            </w:r>
          </w:p>
        </w:tc>
        <w:tc>
          <w:tcPr>
            <w:tcW w:w="1831" w:type="dxa"/>
            <w:tcBorders>
              <w:top w:val="single" w:sz="8" w:space="0" w:color="000000"/>
              <w:left w:val="single" w:sz="2" w:space="0" w:color="000000"/>
              <w:bottom w:val="single" w:sz="8" w:space="0" w:color="000000"/>
              <w:right w:val="single" w:sz="2" w:space="0" w:color="000000"/>
            </w:tcBorders>
          </w:tcPr>
          <w:p>
            <w:pPr>
              <w:pStyle w:val="TableParagraph"/>
              <w:ind w:right="65"/>
              <w:rPr>
                <w:sz w:val="16"/>
              </w:rPr>
            </w:pPr>
            <w:r>
              <w:rPr>
                <w:sz w:val="16"/>
              </w:rPr>
              <w:t>26.800,00</w:t>
            </w:r>
          </w:p>
        </w:tc>
        <w:tc>
          <w:tcPr>
            <w:tcW w:w="1105" w:type="dxa"/>
            <w:tcBorders>
              <w:top w:val="single" w:sz="8" w:space="0" w:color="000000"/>
              <w:left w:val="single" w:sz="2" w:space="0" w:color="000000"/>
              <w:bottom w:val="single" w:sz="8" w:space="0" w:color="000000"/>
              <w:right w:val="nil"/>
            </w:tcBorders>
          </w:tcPr>
          <w:p>
            <w:pPr>
              <w:pStyle w:val="TableParagraph"/>
              <w:ind w:right="59"/>
              <w:rPr>
                <w:sz w:val="16"/>
              </w:rPr>
            </w:pPr>
            <w:r>
              <w:rPr>
                <w:sz w:val="16"/>
              </w:rPr>
              <w:t>37,75%</w:t>
            </w:r>
          </w:p>
        </w:tc>
      </w:tr>
      <w:tr>
        <w:trPr>
          <w:trHeight w:val="433" w:hRule="atLeast"/>
        </w:trPr>
        <w:tc>
          <w:tcPr>
            <w:tcW w:w="8916" w:type="dxa"/>
            <w:gridSpan w:val="9"/>
            <w:tcBorders>
              <w:top w:val="single" w:sz="8" w:space="0" w:color="000000"/>
              <w:left w:val="nil"/>
              <w:bottom w:val="single" w:sz="8" w:space="0" w:color="000000"/>
              <w:right w:val="single" w:sz="2" w:space="0" w:color="000000"/>
            </w:tcBorders>
            <w:shd w:val="clear" w:color="auto" w:fill="C0C0C0"/>
          </w:tcPr>
          <w:p>
            <w:pPr>
              <w:pStyle w:val="TableParagraph"/>
              <w:spacing w:before="74"/>
              <w:ind w:left="1221"/>
              <w:jc w:val="left"/>
              <w:rPr>
                <w:rFonts w:ascii="Arial"/>
                <w:sz w:val="24"/>
              </w:rPr>
            </w:pPr>
            <w:r>
              <w:rPr>
                <w:rFonts w:ascii="Arial"/>
                <w:sz w:val="24"/>
              </w:rPr>
              <w:t>UKUPNO</w:t>
            </w:r>
          </w:p>
        </w:tc>
        <w:tc>
          <w:tcPr>
            <w:tcW w:w="1833"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74"/>
              <w:ind w:right="65"/>
              <w:rPr>
                <w:rFonts w:ascii="Arial"/>
                <w:sz w:val="24"/>
              </w:rPr>
            </w:pPr>
            <w:r>
              <w:rPr>
                <w:rFonts w:ascii="Arial"/>
                <w:sz w:val="24"/>
              </w:rPr>
              <w:t>20.418.660,87</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74"/>
              <w:ind w:right="68"/>
              <w:rPr>
                <w:rFonts w:ascii="Arial"/>
                <w:sz w:val="24"/>
              </w:rPr>
            </w:pPr>
            <w:r>
              <w:rPr>
                <w:rFonts w:ascii="Arial"/>
                <w:sz w:val="24"/>
              </w:rPr>
              <w:t>20.418.660,87</w:t>
            </w:r>
          </w:p>
        </w:tc>
        <w:tc>
          <w:tcPr>
            <w:tcW w:w="1831" w:type="dxa"/>
            <w:tcBorders>
              <w:top w:val="single" w:sz="8" w:space="0" w:color="000000"/>
              <w:left w:val="single" w:sz="2" w:space="0" w:color="000000"/>
              <w:bottom w:val="single" w:sz="8" w:space="0" w:color="000000"/>
              <w:right w:val="single" w:sz="2" w:space="0" w:color="000000"/>
            </w:tcBorders>
            <w:shd w:val="clear" w:color="auto" w:fill="C0C0C0"/>
          </w:tcPr>
          <w:p>
            <w:pPr>
              <w:pStyle w:val="TableParagraph"/>
              <w:spacing w:before="74"/>
              <w:ind w:right="71"/>
              <w:rPr>
                <w:rFonts w:ascii="Arial"/>
                <w:sz w:val="24"/>
              </w:rPr>
            </w:pPr>
            <w:r>
              <w:rPr>
                <w:rFonts w:ascii="Arial"/>
                <w:sz w:val="24"/>
              </w:rPr>
              <w:t>6.305.627,45</w:t>
            </w:r>
          </w:p>
        </w:tc>
        <w:tc>
          <w:tcPr>
            <w:tcW w:w="1105" w:type="dxa"/>
            <w:tcBorders>
              <w:top w:val="single" w:sz="8" w:space="0" w:color="000000"/>
              <w:left w:val="single" w:sz="2" w:space="0" w:color="000000"/>
              <w:bottom w:val="single" w:sz="8" w:space="0" w:color="000000"/>
              <w:right w:val="nil"/>
            </w:tcBorders>
            <w:shd w:val="clear" w:color="auto" w:fill="C0C0C0"/>
          </w:tcPr>
          <w:p>
            <w:pPr>
              <w:pStyle w:val="TableParagraph"/>
              <w:spacing w:before="79"/>
              <w:ind w:right="64"/>
              <w:rPr>
                <w:rFonts w:ascii="Arial"/>
                <w:sz w:val="24"/>
              </w:rPr>
            </w:pPr>
            <w:r>
              <w:rPr>
                <w:rFonts w:ascii="Arial"/>
                <w:sz w:val="24"/>
              </w:rPr>
              <w:t>30,88%</w:t>
            </w:r>
          </w:p>
        </w:tc>
      </w:tr>
    </w:tbl>
    <w:p>
      <w:pPr>
        <w:spacing w:after="0"/>
        <w:rPr>
          <w:rFonts w:ascii="Arial"/>
          <w:sz w:val="24"/>
        </w:rPr>
        <w:sectPr>
          <w:pgSz w:w="16840" w:h="11900" w:orient="landscape"/>
          <w:pgMar w:header="0" w:footer="721" w:top="1100" w:bottom="920" w:left="740" w:right="340"/>
        </w:sectPr>
      </w:pPr>
    </w:p>
    <w:p>
      <w:pPr>
        <w:pStyle w:val="BodyText"/>
        <w:spacing w:before="48"/>
        <w:ind w:left="4591" w:right="4589"/>
        <w:jc w:val="center"/>
      </w:pPr>
      <w:r>
        <w:rPr/>
        <w:t>Članak 4.</w:t>
      </w:r>
    </w:p>
    <w:p>
      <w:pPr>
        <w:pStyle w:val="BodyText"/>
        <w:spacing w:before="11"/>
        <w:rPr>
          <w:sz w:val="23"/>
        </w:rPr>
      </w:pPr>
    </w:p>
    <w:p>
      <w:pPr>
        <w:pStyle w:val="BodyText"/>
        <w:ind w:left="959"/>
      </w:pPr>
      <w:r>
        <w:rPr/>
        <w:t>Polugodišnji izvještaj o izvršenju proračuna Grada Ozlja za 2014. godinu objaviti će se u</w:t>
      </w:r>
    </w:p>
    <w:p>
      <w:pPr>
        <w:pStyle w:val="BodyText"/>
        <w:ind w:left="109"/>
      </w:pPr>
      <w:r>
        <w:rPr/>
        <w:t>„Službenom glasniku“ Grada Ozlja te na internet stranici Grada Ozlja.</w:t>
      </w:r>
    </w:p>
    <w:p>
      <w:pPr>
        <w:pStyle w:val="BodyText"/>
      </w:pPr>
    </w:p>
    <w:p>
      <w:pPr>
        <w:pStyle w:val="BodyText"/>
      </w:pPr>
    </w:p>
    <w:p>
      <w:pPr>
        <w:pStyle w:val="BodyText"/>
      </w:pPr>
    </w:p>
    <w:p>
      <w:pPr>
        <w:pStyle w:val="BodyText"/>
        <w:spacing w:line="480" w:lineRule="auto"/>
        <w:ind w:left="6863" w:right="970" w:firstLine="468"/>
      </w:pPr>
      <w:r>
        <w:rPr/>
        <w:t>PREDSJEDNIK GRADSKOG VIJEĆA:</w:t>
      </w:r>
    </w:p>
    <w:p>
      <w:pPr>
        <w:pStyle w:val="BodyText"/>
      </w:pPr>
    </w:p>
    <w:p>
      <w:pPr>
        <w:pStyle w:val="BodyText"/>
        <w:ind w:right="1482"/>
        <w:jc w:val="right"/>
      </w:pPr>
      <w:r>
        <w:rPr/>
        <w:t>Stjepan Basar</w:t>
      </w:r>
    </w:p>
    <w:p>
      <w:pPr>
        <w:pStyle w:val="BodyText"/>
      </w:pPr>
    </w:p>
    <w:p>
      <w:pPr>
        <w:pStyle w:val="BodyText"/>
      </w:pPr>
    </w:p>
    <w:p>
      <w:pPr>
        <w:pStyle w:val="BodyText"/>
      </w:pPr>
    </w:p>
    <w:p>
      <w:pPr>
        <w:pStyle w:val="BodyText"/>
        <w:spacing w:before="1"/>
        <w:ind w:left="109" w:right="7296"/>
      </w:pPr>
      <w:r>
        <w:rPr/>
        <w:t>KLASA: 400-08/14-01/02 URBROJ:2133/05-01-14-04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ind w:left="109"/>
      </w:pPr>
      <w:r>
        <w:rPr/>
        <w:t>DOSTAVITI:</w:t>
      </w:r>
    </w:p>
    <w:p>
      <w:pPr>
        <w:pStyle w:val="ListParagraph"/>
        <w:numPr>
          <w:ilvl w:val="0"/>
          <w:numId w:val="1"/>
        </w:numPr>
        <w:tabs>
          <w:tab w:pos="470" w:val="left" w:leader="none"/>
        </w:tabs>
        <w:spacing w:line="240" w:lineRule="auto" w:before="0" w:after="0"/>
        <w:ind w:left="469" w:right="5339" w:hanging="360"/>
        <w:jc w:val="left"/>
        <w:rPr>
          <w:sz w:val="24"/>
        </w:rPr>
      </w:pPr>
      <w:r>
        <w:rPr>
          <w:sz w:val="24"/>
        </w:rPr>
        <w:t>Ured državne uprave u Karlovačkoj</w:t>
      </w:r>
      <w:r>
        <w:rPr>
          <w:spacing w:val="-27"/>
          <w:sz w:val="24"/>
        </w:rPr>
        <w:t> </w:t>
      </w:r>
      <w:r>
        <w:rPr>
          <w:sz w:val="24"/>
        </w:rPr>
        <w:t>županiji, Vraniczanyeva ul. 4,</w:t>
      </w:r>
      <w:r>
        <w:rPr>
          <w:spacing w:val="-4"/>
          <w:sz w:val="24"/>
        </w:rPr>
        <w:t> </w:t>
      </w:r>
      <w:r>
        <w:rPr>
          <w:sz w:val="24"/>
        </w:rPr>
        <w:t>Karlovac</w:t>
      </w:r>
    </w:p>
    <w:p>
      <w:pPr>
        <w:pStyle w:val="ListParagraph"/>
        <w:numPr>
          <w:ilvl w:val="0"/>
          <w:numId w:val="1"/>
        </w:numPr>
        <w:tabs>
          <w:tab w:pos="470" w:val="left" w:leader="none"/>
        </w:tabs>
        <w:spacing w:line="240" w:lineRule="auto" w:before="0" w:after="0"/>
        <w:ind w:left="469" w:right="0" w:hanging="361"/>
        <w:jc w:val="left"/>
        <w:rPr>
          <w:sz w:val="24"/>
        </w:rPr>
      </w:pPr>
      <w:r>
        <w:rPr>
          <w:sz w:val="24"/>
        </w:rPr>
        <w:t>“Službeni glasnik” Grada</w:t>
      </w:r>
      <w:r>
        <w:rPr>
          <w:spacing w:val="-4"/>
          <w:sz w:val="24"/>
        </w:rPr>
        <w:t> </w:t>
      </w:r>
      <w:r>
        <w:rPr>
          <w:sz w:val="24"/>
        </w:rPr>
        <w:t>Ozlja;</w:t>
      </w:r>
    </w:p>
    <w:p>
      <w:pPr>
        <w:pStyle w:val="ListParagraph"/>
        <w:numPr>
          <w:ilvl w:val="0"/>
          <w:numId w:val="1"/>
        </w:numPr>
        <w:tabs>
          <w:tab w:pos="470" w:val="left" w:leader="none"/>
        </w:tabs>
        <w:spacing w:line="240" w:lineRule="auto" w:before="0" w:after="0"/>
        <w:ind w:left="469" w:right="0" w:hanging="361"/>
        <w:jc w:val="left"/>
        <w:rPr>
          <w:sz w:val="24"/>
        </w:rPr>
      </w:pPr>
      <w:r>
        <w:rPr>
          <w:sz w:val="24"/>
        </w:rPr>
        <w:t>Dokumentacija;</w:t>
      </w:r>
    </w:p>
    <w:p>
      <w:pPr>
        <w:pStyle w:val="ListParagraph"/>
        <w:numPr>
          <w:ilvl w:val="0"/>
          <w:numId w:val="1"/>
        </w:numPr>
        <w:tabs>
          <w:tab w:pos="470" w:val="left" w:leader="none"/>
        </w:tabs>
        <w:spacing w:line="240" w:lineRule="auto" w:before="0" w:after="0"/>
        <w:ind w:left="469" w:right="0" w:hanging="361"/>
        <w:jc w:val="left"/>
        <w:rPr>
          <w:sz w:val="24"/>
        </w:rPr>
      </w:pPr>
      <w:r>
        <w:rPr>
          <w:sz w:val="24"/>
        </w:rPr>
        <w:t>Pismohrana.</w:t>
      </w:r>
    </w:p>
    <w:p>
      <w:pPr>
        <w:spacing w:after="0" w:line="240" w:lineRule="auto"/>
        <w:jc w:val="left"/>
        <w:rPr>
          <w:sz w:val="24"/>
        </w:rPr>
        <w:sectPr>
          <w:footerReference w:type="default" r:id="rId12"/>
          <w:pgSz w:w="11900" w:h="16840"/>
          <w:pgMar w:footer="0" w:header="0" w:top="1360" w:bottom="280" w:left="740" w:right="1020"/>
        </w:sectPr>
      </w:pPr>
    </w:p>
    <w:p>
      <w:pPr>
        <w:pStyle w:val="Heading1"/>
        <w:spacing w:before="72"/>
        <w:ind w:left="3099" w:right="1480" w:hanging="1745"/>
      </w:pPr>
      <w:r>
        <w:rPr/>
        <w:t>IZVJEŠTAJI I OBRAZLOŽENJE UZ POLUGODIŠNJI IZVJEŠTAJ O IZVRŠENJU PRORAČUNA GRADA OZLJA ZA 2014. GODINU</w:t>
      </w:r>
    </w:p>
    <w:p>
      <w:pPr>
        <w:pStyle w:val="BodyText"/>
        <w:spacing w:before="7"/>
        <w:rPr>
          <w:b/>
          <w:sz w:val="23"/>
        </w:rPr>
      </w:pPr>
    </w:p>
    <w:p>
      <w:pPr>
        <w:pStyle w:val="BodyText"/>
        <w:ind w:left="1256" w:right="1392" w:firstLine="540"/>
        <w:jc w:val="both"/>
      </w:pPr>
      <w:r>
        <w:rPr/>
        <w:t>Odredbom članka 109. Zakona o proračunu («Narodne novine» broj 87/08,136/12,) utvrđena je obveza Gradonačelnice jedinice lokalne samouprave da podnese Polugodišnji izvještaj o izvršenju Proračuna za prvo polugodište tekuće godine predstavničkom tijelu na donošenje, najkasnije do 15. rujna tekuće proračunske godine.</w:t>
      </w:r>
    </w:p>
    <w:p>
      <w:pPr>
        <w:pStyle w:val="BodyText"/>
        <w:ind w:left="1256" w:right="1391" w:firstLine="540"/>
        <w:jc w:val="both"/>
      </w:pPr>
      <w:r>
        <w:rPr/>
        <w:t>Prema odredbi članka 4. Pravilnika o polugodišnjem i godišnjem izvještaju o izvršenju proračuna („Narodne novine“ broj 24/13) Polugodišnji izvještaj o izvršenju proračuna sadrži:</w:t>
      </w:r>
    </w:p>
    <w:p>
      <w:pPr>
        <w:pStyle w:val="ListParagraph"/>
        <w:numPr>
          <w:ilvl w:val="1"/>
          <w:numId w:val="1"/>
        </w:numPr>
        <w:tabs>
          <w:tab w:pos="1616" w:val="left" w:leader="none"/>
        </w:tabs>
        <w:spacing w:line="240" w:lineRule="auto" w:before="0" w:after="0"/>
        <w:ind w:left="1616" w:right="1394" w:hanging="360"/>
        <w:jc w:val="left"/>
        <w:rPr>
          <w:sz w:val="24"/>
        </w:rPr>
      </w:pPr>
      <w:r>
        <w:rPr>
          <w:sz w:val="24"/>
        </w:rPr>
        <w:t>Opći dio proračuna koji čini Račun prihoda i rashoda i Račun financiranja na razini odjeljka ekonomske klasifikacije (tabelarni</w:t>
      </w:r>
      <w:r>
        <w:rPr>
          <w:spacing w:val="-1"/>
          <w:sz w:val="24"/>
        </w:rPr>
        <w:t> </w:t>
      </w:r>
      <w:r>
        <w:rPr>
          <w:sz w:val="24"/>
        </w:rPr>
        <w:t>dio)</w:t>
      </w:r>
    </w:p>
    <w:p>
      <w:pPr>
        <w:pStyle w:val="ListParagraph"/>
        <w:numPr>
          <w:ilvl w:val="1"/>
          <w:numId w:val="1"/>
        </w:numPr>
        <w:tabs>
          <w:tab w:pos="1616" w:val="left" w:leader="none"/>
        </w:tabs>
        <w:spacing w:line="240" w:lineRule="auto" w:before="0" w:after="0"/>
        <w:ind w:left="1616" w:right="1392" w:hanging="360"/>
        <w:jc w:val="left"/>
        <w:rPr>
          <w:sz w:val="24"/>
        </w:rPr>
      </w:pPr>
      <w:r>
        <w:rPr>
          <w:sz w:val="24"/>
        </w:rPr>
        <w:t>Posebni dio proračuna po organizacijskoj i programskoj klasifikaciji te razini odjeljka ekonomske klasifikacije (tabelarni</w:t>
      </w:r>
      <w:r>
        <w:rPr>
          <w:spacing w:val="1"/>
          <w:sz w:val="24"/>
        </w:rPr>
        <w:t> </w:t>
      </w:r>
      <w:r>
        <w:rPr>
          <w:sz w:val="24"/>
        </w:rPr>
        <w:t>dio)</w:t>
      </w:r>
    </w:p>
    <w:p>
      <w:pPr>
        <w:pStyle w:val="ListParagraph"/>
        <w:numPr>
          <w:ilvl w:val="1"/>
          <w:numId w:val="1"/>
        </w:numPr>
        <w:tabs>
          <w:tab w:pos="1616" w:val="left" w:leader="none"/>
        </w:tabs>
        <w:spacing w:line="240" w:lineRule="auto" w:before="0" w:after="0"/>
        <w:ind w:left="1616" w:right="0" w:hanging="360"/>
        <w:jc w:val="left"/>
        <w:rPr>
          <w:sz w:val="24"/>
        </w:rPr>
      </w:pPr>
      <w:r>
        <w:rPr>
          <w:sz w:val="24"/>
        </w:rPr>
        <w:t>Izvještaj o zaduživanju na tržištu novca i</w:t>
      </w:r>
      <w:r>
        <w:rPr>
          <w:spacing w:val="-1"/>
          <w:sz w:val="24"/>
        </w:rPr>
        <w:t> </w:t>
      </w:r>
      <w:r>
        <w:rPr>
          <w:sz w:val="24"/>
        </w:rPr>
        <w:t>kapitala</w:t>
      </w:r>
    </w:p>
    <w:p>
      <w:pPr>
        <w:pStyle w:val="ListParagraph"/>
        <w:numPr>
          <w:ilvl w:val="1"/>
          <w:numId w:val="1"/>
        </w:numPr>
        <w:tabs>
          <w:tab w:pos="1616" w:val="left" w:leader="none"/>
        </w:tabs>
        <w:spacing w:line="240" w:lineRule="auto" w:before="0" w:after="0"/>
        <w:ind w:left="1616" w:right="0" w:hanging="360"/>
        <w:jc w:val="left"/>
        <w:rPr>
          <w:sz w:val="24"/>
        </w:rPr>
      </w:pPr>
      <w:r>
        <w:rPr>
          <w:sz w:val="24"/>
        </w:rPr>
        <w:t>Izvještaj o korištenju proračunske</w:t>
      </w:r>
      <w:r>
        <w:rPr>
          <w:spacing w:val="-1"/>
          <w:sz w:val="24"/>
        </w:rPr>
        <w:t> </w:t>
      </w:r>
      <w:r>
        <w:rPr>
          <w:sz w:val="24"/>
        </w:rPr>
        <w:t>zalihe</w:t>
      </w:r>
    </w:p>
    <w:p>
      <w:pPr>
        <w:pStyle w:val="ListParagraph"/>
        <w:numPr>
          <w:ilvl w:val="1"/>
          <w:numId w:val="1"/>
        </w:numPr>
        <w:tabs>
          <w:tab w:pos="1616" w:val="left" w:leader="none"/>
        </w:tabs>
        <w:spacing w:line="240" w:lineRule="auto" w:before="0" w:after="0"/>
        <w:ind w:left="1616" w:right="0" w:hanging="360"/>
        <w:jc w:val="left"/>
        <w:rPr>
          <w:sz w:val="24"/>
        </w:rPr>
      </w:pPr>
      <w:r>
        <w:rPr>
          <w:sz w:val="24"/>
        </w:rPr>
        <w:t>Izvještaj o danim jamstvima i izdacima po danim</w:t>
      </w:r>
      <w:r>
        <w:rPr>
          <w:spacing w:val="-3"/>
          <w:sz w:val="24"/>
        </w:rPr>
        <w:t> </w:t>
      </w:r>
      <w:r>
        <w:rPr>
          <w:sz w:val="24"/>
        </w:rPr>
        <w:t>jamstvima</w:t>
      </w:r>
    </w:p>
    <w:p>
      <w:pPr>
        <w:pStyle w:val="ListParagraph"/>
        <w:numPr>
          <w:ilvl w:val="1"/>
          <w:numId w:val="1"/>
        </w:numPr>
        <w:tabs>
          <w:tab w:pos="1616" w:val="left" w:leader="none"/>
        </w:tabs>
        <w:spacing w:line="240" w:lineRule="auto" w:before="0" w:after="0"/>
        <w:ind w:left="1616" w:right="0" w:hanging="360"/>
        <w:jc w:val="left"/>
        <w:rPr>
          <w:sz w:val="24"/>
        </w:rPr>
      </w:pPr>
      <w:r>
        <w:rPr>
          <w:sz w:val="24"/>
        </w:rPr>
        <w:t>Obrazloženje ostvarenja prihoda i primitaka, rashoda i</w:t>
      </w:r>
      <w:r>
        <w:rPr>
          <w:spacing w:val="-1"/>
          <w:sz w:val="24"/>
        </w:rPr>
        <w:t> </w:t>
      </w:r>
      <w:r>
        <w:rPr>
          <w:sz w:val="24"/>
        </w:rPr>
        <w:t>izdataka</w:t>
      </w:r>
    </w:p>
    <w:p>
      <w:pPr>
        <w:pStyle w:val="BodyText"/>
      </w:pPr>
    </w:p>
    <w:p>
      <w:pPr>
        <w:pStyle w:val="BodyText"/>
        <w:ind w:left="1777" w:right="1634"/>
        <w:jc w:val="center"/>
      </w:pPr>
      <w:r>
        <w:rPr/>
        <w:t>Slijedom naprijed navedenog, u nastavku se daju izvještaji i obrazloženja kako slijedi:</w:t>
      </w:r>
    </w:p>
    <w:p>
      <w:pPr>
        <w:pStyle w:val="BodyText"/>
        <w:spacing w:before="5"/>
      </w:pPr>
    </w:p>
    <w:p>
      <w:pPr>
        <w:pStyle w:val="Heading1"/>
        <w:numPr>
          <w:ilvl w:val="0"/>
          <w:numId w:val="2"/>
        </w:numPr>
        <w:tabs>
          <w:tab w:pos="1963" w:val="left" w:leader="none"/>
          <w:tab w:pos="1964" w:val="left" w:leader="none"/>
        </w:tabs>
        <w:spacing w:line="274" w:lineRule="exact" w:before="0" w:after="0"/>
        <w:ind w:left="1964" w:right="0" w:hanging="708"/>
        <w:jc w:val="left"/>
      </w:pPr>
      <w:r>
        <w:rPr/>
        <w:t>IZVJEŠTAJ O ZADUŽIVANJU NA TRŽIŠTU NOVCA I</w:t>
      </w:r>
      <w:r>
        <w:rPr>
          <w:spacing w:val="-9"/>
        </w:rPr>
        <w:t> </w:t>
      </w:r>
      <w:r>
        <w:rPr/>
        <w:t>KAPITALA</w:t>
      </w:r>
    </w:p>
    <w:p>
      <w:pPr>
        <w:pStyle w:val="BodyText"/>
        <w:ind w:left="1256" w:right="1392" w:firstLine="540"/>
        <w:jc w:val="both"/>
      </w:pPr>
      <w:r>
        <w:rPr/>
        <w:t>U prvom polugodištu 2014. godine Grad Ozalj je s Erste&amp;Steiermarkische bank d.d sklopio Ugovor o dugoročnom kreditu za predfinanciranje izgradnje uređaja za pročišćavanje otpadnih voda Grada Ozlja. Iznos glavnice je 5.500.000,00 kn, kamate iznose 1.072.349,83 kn, a ostali troškovi 49.494,52 kn. Razdoblje povlačenja kredita je godina dana, rok otplate kredita je 7 godina, a razdoblje počeka je godina dana. Budući da u prvom polugodištu 2014. godine nije bilo povlačenja kredita, radi sporog napredovanja radova na izgradnji pročistača uzrokovanog nepovoljnim vremenskim prilikama, stanje zaduženja proračuna da dan 30.06.2014. godine iznosi 0,00</w:t>
      </w:r>
      <w:r>
        <w:rPr>
          <w:spacing w:val="-1"/>
        </w:rPr>
        <w:t> </w:t>
      </w:r>
      <w:r>
        <w:rPr/>
        <w:t>kn.</w:t>
      </w:r>
    </w:p>
    <w:p>
      <w:pPr>
        <w:pStyle w:val="BodyText"/>
      </w:pPr>
    </w:p>
    <w:p>
      <w:pPr>
        <w:pStyle w:val="Heading1"/>
        <w:numPr>
          <w:ilvl w:val="0"/>
          <w:numId w:val="2"/>
        </w:numPr>
        <w:tabs>
          <w:tab w:pos="1963" w:val="left" w:leader="none"/>
          <w:tab w:pos="1964" w:val="left" w:leader="none"/>
        </w:tabs>
        <w:spacing w:line="274" w:lineRule="exact" w:before="1" w:after="0"/>
        <w:ind w:left="1964" w:right="0" w:hanging="708"/>
        <w:jc w:val="left"/>
      </w:pPr>
      <w:r>
        <w:rPr/>
        <w:t>IZVJEŠTAJ O KORIŠTENJU PRORAČUNSKE</w:t>
      </w:r>
      <w:r>
        <w:rPr>
          <w:spacing w:val="-24"/>
        </w:rPr>
        <w:t> </w:t>
      </w:r>
      <w:r>
        <w:rPr/>
        <w:t>ZALIHE</w:t>
      </w:r>
    </w:p>
    <w:p>
      <w:pPr>
        <w:pStyle w:val="BodyText"/>
        <w:spacing w:line="274" w:lineRule="exact"/>
        <w:ind w:left="1736" w:right="1634"/>
        <w:jc w:val="center"/>
      </w:pPr>
      <w:r>
        <w:rPr/>
        <w:t>Proračunom Grada Ozlja za 2014. godinu nisu planirana sredstva proračunske</w:t>
      </w:r>
      <w:r>
        <w:rPr>
          <w:spacing w:val="-19"/>
        </w:rPr>
        <w:t> </w:t>
      </w:r>
      <w:r>
        <w:rPr/>
        <w:t>zalihe.</w:t>
      </w:r>
    </w:p>
    <w:p>
      <w:pPr>
        <w:pStyle w:val="BodyText"/>
        <w:spacing w:before="9"/>
      </w:pPr>
    </w:p>
    <w:p>
      <w:pPr>
        <w:pStyle w:val="ListParagraph"/>
        <w:numPr>
          <w:ilvl w:val="0"/>
          <w:numId w:val="2"/>
        </w:numPr>
        <w:tabs>
          <w:tab w:pos="1963" w:val="left" w:leader="none"/>
          <w:tab w:pos="1964" w:val="left" w:leader="none"/>
        </w:tabs>
        <w:spacing w:line="235" w:lineRule="auto" w:before="0" w:after="0"/>
        <w:ind w:left="1963" w:right="1463" w:hanging="708"/>
        <w:jc w:val="left"/>
        <w:rPr>
          <w:sz w:val="24"/>
        </w:rPr>
      </w:pPr>
      <w:r>
        <w:rPr>
          <w:b/>
          <w:sz w:val="24"/>
        </w:rPr>
        <w:t>IZVJEŠTAJ O DANIM JAMSTVIMA I IZDACIMA PO DANIM JAMSTVIMA </w:t>
      </w:r>
      <w:r>
        <w:rPr>
          <w:sz w:val="24"/>
        </w:rPr>
        <w:t>U prvoj polovici 2014. godine Grad Ozalj nije davao jamstva trgovačkim društvima</w:t>
      </w:r>
      <w:r>
        <w:rPr>
          <w:spacing w:val="-9"/>
          <w:sz w:val="24"/>
        </w:rPr>
        <w:t> </w:t>
      </w:r>
      <w:r>
        <w:rPr>
          <w:sz w:val="24"/>
        </w:rPr>
        <w:t>i</w:t>
      </w:r>
    </w:p>
    <w:p>
      <w:pPr>
        <w:pStyle w:val="BodyText"/>
        <w:spacing w:before="2"/>
        <w:ind w:left="1256"/>
      </w:pPr>
      <w:r>
        <w:rPr/>
        <w:t>ustanovama u svom vlasništvu, niti je imao izdataka po danim jamstvima.</w:t>
      </w:r>
    </w:p>
    <w:p>
      <w:pPr>
        <w:pStyle w:val="BodyText"/>
        <w:spacing w:before="4"/>
      </w:pPr>
    </w:p>
    <w:p>
      <w:pPr>
        <w:pStyle w:val="Heading1"/>
        <w:numPr>
          <w:ilvl w:val="0"/>
          <w:numId w:val="2"/>
        </w:numPr>
        <w:tabs>
          <w:tab w:pos="1963" w:val="left" w:leader="none"/>
          <w:tab w:pos="1964" w:val="left" w:leader="none"/>
        </w:tabs>
        <w:spacing w:line="240" w:lineRule="auto" w:before="1" w:after="0"/>
        <w:ind w:left="1963" w:right="1485" w:hanging="708"/>
        <w:jc w:val="left"/>
      </w:pPr>
      <w:r>
        <w:rPr/>
        <w:t>OBRAZLOŽENJE OSTVARENIH PRIHODA I PRIMITAKA TE RASHODA I IZDATAKA PREMA EKONOMSKOJ</w:t>
      </w:r>
      <w:r>
        <w:rPr>
          <w:spacing w:val="-3"/>
        </w:rPr>
        <w:t> </w:t>
      </w:r>
      <w:r>
        <w:rPr/>
        <w:t>KLASIFIKACIJI</w:t>
      </w:r>
    </w:p>
    <w:p>
      <w:pPr>
        <w:pStyle w:val="BodyText"/>
        <w:spacing w:before="6"/>
        <w:rPr>
          <w:b/>
          <w:sz w:val="23"/>
        </w:rPr>
      </w:pPr>
    </w:p>
    <w:p>
      <w:pPr>
        <w:pStyle w:val="BodyText"/>
        <w:spacing w:after="9"/>
        <w:ind w:left="1397" w:right="394" w:hanging="1136"/>
      </w:pPr>
      <w:r>
        <w:rPr/>
        <w:t>Tabela 1.: Pregled ostvarenih prihoda/primitaka i rashoda/izdataka Proračuna grada Ozlja u prvom polugodištu 2014. godine u odnosu na ostvarenje istih u istom izvještajnom razdoblju prethodne godine te u odnosu na plan za tekuću proračunsku godinu:</w:t>
      </w:r>
    </w:p>
    <w:tbl>
      <w:tblPr>
        <w:tblW w:w="0" w:type="auto"/>
        <w:jc w:val="left"/>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243"/>
        <w:gridCol w:w="1560"/>
        <w:gridCol w:w="1560"/>
        <w:gridCol w:w="1558"/>
        <w:gridCol w:w="852"/>
        <w:gridCol w:w="850"/>
      </w:tblGrid>
      <w:tr>
        <w:trPr>
          <w:trHeight w:val="760" w:hRule="atLeast"/>
        </w:trPr>
        <w:tc>
          <w:tcPr>
            <w:tcW w:w="566" w:type="dxa"/>
            <w:shd w:val="clear" w:color="auto" w:fill="DBE5F1"/>
          </w:tcPr>
          <w:p>
            <w:pPr>
              <w:pStyle w:val="TableParagraph"/>
              <w:spacing w:line="242" w:lineRule="auto" w:before="0"/>
              <w:ind w:left="165" w:right="86" w:hanging="51"/>
              <w:jc w:val="left"/>
              <w:rPr>
                <w:rFonts w:ascii="Times New Roman"/>
                <w:sz w:val="22"/>
              </w:rPr>
            </w:pPr>
            <w:r>
              <w:rPr>
                <w:rFonts w:ascii="Times New Roman"/>
                <w:sz w:val="22"/>
              </w:rPr>
              <w:t>red. br.</w:t>
            </w:r>
          </w:p>
        </w:tc>
        <w:tc>
          <w:tcPr>
            <w:tcW w:w="4243" w:type="dxa"/>
            <w:shd w:val="clear" w:color="auto" w:fill="DBE5F1"/>
          </w:tcPr>
          <w:p>
            <w:pPr>
              <w:pStyle w:val="TableParagraph"/>
              <w:spacing w:line="247" w:lineRule="exact" w:before="0"/>
              <w:ind w:left="1863" w:right="1852"/>
              <w:jc w:val="center"/>
              <w:rPr>
                <w:rFonts w:ascii="Times New Roman"/>
                <w:sz w:val="22"/>
              </w:rPr>
            </w:pPr>
            <w:r>
              <w:rPr>
                <w:rFonts w:ascii="Times New Roman"/>
                <w:sz w:val="22"/>
              </w:rPr>
              <w:t>OPIS</w:t>
            </w:r>
          </w:p>
        </w:tc>
        <w:tc>
          <w:tcPr>
            <w:tcW w:w="1560" w:type="dxa"/>
            <w:shd w:val="clear" w:color="auto" w:fill="DBE5F1"/>
          </w:tcPr>
          <w:p>
            <w:pPr>
              <w:pStyle w:val="TableParagraph"/>
              <w:spacing w:line="242" w:lineRule="auto" w:before="0"/>
              <w:ind w:left="468" w:right="364" w:hanging="94"/>
              <w:jc w:val="left"/>
              <w:rPr>
                <w:rFonts w:ascii="Times New Roman" w:hAnsi="Times New Roman"/>
                <w:sz w:val="22"/>
              </w:rPr>
            </w:pPr>
            <w:r>
              <w:rPr>
                <w:rFonts w:ascii="Times New Roman" w:hAnsi="Times New Roman"/>
                <w:sz w:val="22"/>
              </w:rPr>
              <w:t>Izvršenje 01.01.-</w:t>
            </w:r>
          </w:p>
          <w:p>
            <w:pPr>
              <w:pStyle w:val="TableParagraph"/>
              <w:spacing w:line="236" w:lineRule="exact" w:before="0"/>
              <w:ind w:left="257"/>
              <w:jc w:val="left"/>
              <w:rPr>
                <w:rFonts w:ascii="Times New Roman"/>
                <w:sz w:val="22"/>
              </w:rPr>
            </w:pPr>
            <w:r>
              <w:rPr>
                <w:rFonts w:ascii="Times New Roman"/>
                <w:sz w:val="22"/>
              </w:rPr>
              <w:t>30.06.2013.</w:t>
            </w:r>
          </w:p>
        </w:tc>
        <w:tc>
          <w:tcPr>
            <w:tcW w:w="1560" w:type="dxa"/>
            <w:shd w:val="clear" w:color="auto" w:fill="DBE5F1"/>
          </w:tcPr>
          <w:p>
            <w:pPr>
              <w:pStyle w:val="TableParagraph"/>
              <w:spacing w:line="242" w:lineRule="auto" w:before="0"/>
              <w:ind w:left="473" w:right="156" w:hanging="291"/>
              <w:jc w:val="left"/>
              <w:rPr>
                <w:rFonts w:ascii="Times New Roman"/>
                <w:sz w:val="22"/>
              </w:rPr>
            </w:pPr>
            <w:r>
              <w:rPr>
                <w:rFonts w:ascii="Times New Roman"/>
                <w:sz w:val="22"/>
              </w:rPr>
              <w:t>Plan za 2014. godinu</w:t>
            </w:r>
          </w:p>
        </w:tc>
        <w:tc>
          <w:tcPr>
            <w:tcW w:w="1558" w:type="dxa"/>
            <w:shd w:val="clear" w:color="auto" w:fill="DBE5F1"/>
          </w:tcPr>
          <w:p>
            <w:pPr>
              <w:pStyle w:val="TableParagraph"/>
              <w:spacing w:line="242" w:lineRule="auto" w:before="0"/>
              <w:ind w:left="456" w:right="374" w:hanging="94"/>
              <w:jc w:val="left"/>
              <w:rPr>
                <w:rFonts w:ascii="Times New Roman" w:hAnsi="Times New Roman"/>
                <w:sz w:val="22"/>
              </w:rPr>
            </w:pPr>
            <w:r>
              <w:rPr>
                <w:rFonts w:ascii="Times New Roman" w:hAnsi="Times New Roman"/>
                <w:sz w:val="22"/>
              </w:rPr>
              <w:t>Izvršenje 01.01.-</w:t>
            </w:r>
          </w:p>
          <w:p>
            <w:pPr>
              <w:pStyle w:val="TableParagraph"/>
              <w:spacing w:line="236" w:lineRule="exact" w:before="0"/>
              <w:ind w:left="245"/>
              <w:jc w:val="left"/>
              <w:rPr>
                <w:rFonts w:ascii="Times New Roman"/>
                <w:sz w:val="22"/>
              </w:rPr>
            </w:pPr>
            <w:r>
              <w:rPr>
                <w:rFonts w:ascii="Times New Roman"/>
                <w:sz w:val="22"/>
              </w:rPr>
              <w:t>30.06.2014.</w:t>
            </w:r>
          </w:p>
        </w:tc>
        <w:tc>
          <w:tcPr>
            <w:tcW w:w="852" w:type="dxa"/>
            <w:shd w:val="clear" w:color="auto" w:fill="DBE5F1"/>
          </w:tcPr>
          <w:p>
            <w:pPr>
              <w:pStyle w:val="TableParagraph"/>
              <w:spacing w:line="242" w:lineRule="auto" w:before="0"/>
              <w:ind w:left="288" w:right="101" w:hanging="154"/>
              <w:jc w:val="left"/>
              <w:rPr>
                <w:rFonts w:ascii="Times New Roman"/>
                <w:sz w:val="22"/>
              </w:rPr>
            </w:pPr>
            <w:r>
              <w:rPr>
                <w:rFonts w:ascii="Times New Roman"/>
                <w:sz w:val="22"/>
              </w:rPr>
              <w:t>Indeks 5/3</w:t>
            </w:r>
          </w:p>
        </w:tc>
        <w:tc>
          <w:tcPr>
            <w:tcW w:w="850" w:type="dxa"/>
            <w:shd w:val="clear" w:color="auto" w:fill="DBE5F1"/>
          </w:tcPr>
          <w:p>
            <w:pPr>
              <w:pStyle w:val="TableParagraph"/>
              <w:spacing w:line="242" w:lineRule="auto" w:before="0"/>
              <w:ind w:left="285" w:right="102" w:hanging="154"/>
              <w:jc w:val="left"/>
              <w:rPr>
                <w:rFonts w:ascii="Times New Roman"/>
                <w:sz w:val="22"/>
              </w:rPr>
            </w:pPr>
            <w:r>
              <w:rPr>
                <w:rFonts w:ascii="Times New Roman"/>
                <w:sz w:val="22"/>
              </w:rPr>
              <w:t>Indeks 5/4</w:t>
            </w:r>
          </w:p>
        </w:tc>
      </w:tr>
      <w:tr>
        <w:trPr>
          <w:trHeight w:val="184" w:hRule="atLeast"/>
        </w:trPr>
        <w:tc>
          <w:tcPr>
            <w:tcW w:w="566" w:type="dxa"/>
          </w:tcPr>
          <w:p>
            <w:pPr>
              <w:pStyle w:val="TableParagraph"/>
              <w:spacing w:line="164" w:lineRule="exact" w:before="0"/>
              <w:ind w:right="229"/>
              <w:rPr>
                <w:rFonts w:ascii="Times New Roman"/>
                <w:sz w:val="16"/>
              </w:rPr>
            </w:pPr>
            <w:r>
              <w:rPr>
                <w:rFonts w:ascii="Times New Roman"/>
                <w:w w:val="100"/>
                <w:sz w:val="16"/>
              </w:rPr>
              <w:t>1</w:t>
            </w:r>
          </w:p>
        </w:tc>
        <w:tc>
          <w:tcPr>
            <w:tcW w:w="4243" w:type="dxa"/>
          </w:tcPr>
          <w:p>
            <w:pPr>
              <w:pStyle w:val="TableParagraph"/>
              <w:spacing w:line="164" w:lineRule="exact" w:before="0"/>
              <w:ind w:left="14"/>
              <w:jc w:val="center"/>
              <w:rPr>
                <w:rFonts w:ascii="Times New Roman"/>
                <w:sz w:val="16"/>
              </w:rPr>
            </w:pPr>
            <w:r>
              <w:rPr>
                <w:rFonts w:ascii="Times New Roman"/>
                <w:w w:val="100"/>
                <w:sz w:val="16"/>
              </w:rPr>
              <w:t>2</w:t>
            </w:r>
          </w:p>
        </w:tc>
        <w:tc>
          <w:tcPr>
            <w:tcW w:w="1560" w:type="dxa"/>
          </w:tcPr>
          <w:p>
            <w:pPr>
              <w:pStyle w:val="TableParagraph"/>
              <w:spacing w:line="164" w:lineRule="exact" w:before="0"/>
              <w:ind w:left="9"/>
              <w:jc w:val="center"/>
              <w:rPr>
                <w:rFonts w:ascii="Times New Roman"/>
                <w:sz w:val="16"/>
              </w:rPr>
            </w:pPr>
            <w:r>
              <w:rPr>
                <w:rFonts w:ascii="Times New Roman"/>
                <w:w w:val="100"/>
                <w:sz w:val="16"/>
              </w:rPr>
              <w:t>3</w:t>
            </w:r>
          </w:p>
        </w:tc>
        <w:tc>
          <w:tcPr>
            <w:tcW w:w="1560" w:type="dxa"/>
          </w:tcPr>
          <w:p>
            <w:pPr>
              <w:pStyle w:val="TableParagraph"/>
              <w:spacing w:line="164" w:lineRule="exact" w:before="0"/>
              <w:ind w:left="9"/>
              <w:jc w:val="center"/>
              <w:rPr>
                <w:rFonts w:ascii="Times New Roman"/>
                <w:sz w:val="16"/>
              </w:rPr>
            </w:pPr>
            <w:r>
              <w:rPr>
                <w:rFonts w:ascii="Times New Roman"/>
                <w:w w:val="100"/>
                <w:sz w:val="16"/>
              </w:rPr>
              <w:t>4</w:t>
            </w:r>
          </w:p>
        </w:tc>
        <w:tc>
          <w:tcPr>
            <w:tcW w:w="1558" w:type="dxa"/>
          </w:tcPr>
          <w:p>
            <w:pPr>
              <w:pStyle w:val="TableParagraph"/>
              <w:spacing w:line="164" w:lineRule="exact" w:before="0"/>
              <w:ind w:right="10"/>
              <w:jc w:val="center"/>
              <w:rPr>
                <w:rFonts w:ascii="Times New Roman"/>
                <w:sz w:val="16"/>
              </w:rPr>
            </w:pPr>
            <w:r>
              <w:rPr>
                <w:rFonts w:ascii="Times New Roman"/>
                <w:w w:val="100"/>
                <w:sz w:val="16"/>
              </w:rPr>
              <w:t>5</w:t>
            </w:r>
          </w:p>
        </w:tc>
        <w:tc>
          <w:tcPr>
            <w:tcW w:w="852" w:type="dxa"/>
          </w:tcPr>
          <w:p>
            <w:pPr>
              <w:pStyle w:val="TableParagraph"/>
              <w:spacing w:line="164" w:lineRule="exact" w:before="0"/>
              <w:ind w:left="16"/>
              <w:jc w:val="center"/>
              <w:rPr>
                <w:rFonts w:ascii="Times New Roman"/>
                <w:sz w:val="16"/>
              </w:rPr>
            </w:pPr>
            <w:r>
              <w:rPr>
                <w:rFonts w:ascii="Times New Roman"/>
                <w:w w:val="100"/>
                <w:sz w:val="16"/>
              </w:rPr>
              <w:t>6</w:t>
            </w:r>
          </w:p>
        </w:tc>
        <w:tc>
          <w:tcPr>
            <w:tcW w:w="850" w:type="dxa"/>
          </w:tcPr>
          <w:p>
            <w:pPr>
              <w:pStyle w:val="TableParagraph"/>
              <w:spacing w:line="164" w:lineRule="exact" w:before="0"/>
              <w:ind w:left="13"/>
              <w:jc w:val="center"/>
              <w:rPr>
                <w:rFonts w:ascii="Times New Roman"/>
                <w:sz w:val="16"/>
              </w:rPr>
            </w:pPr>
            <w:r>
              <w:rPr>
                <w:rFonts w:ascii="Times New Roman"/>
                <w:w w:val="100"/>
                <w:sz w:val="16"/>
              </w:rPr>
              <w:t>7</w:t>
            </w:r>
          </w:p>
        </w:tc>
      </w:tr>
      <w:tr>
        <w:trPr>
          <w:trHeight w:val="251" w:hRule="atLeast"/>
        </w:trPr>
        <w:tc>
          <w:tcPr>
            <w:tcW w:w="566" w:type="dxa"/>
          </w:tcPr>
          <w:p>
            <w:pPr>
              <w:pStyle w:val="TableParagraph"/>
              <w:spacing w:line="232" w:lineRule="exact" w:before="0"/>
              <w:ind w:right="229"/>
              <w:rPr>
                <w:rFonts w:ascii="Times New Roman"/>
                <w:b/>
                <w:sz w:val="22"/>
              </w:rPr>
            </w:pPr>
            <w:r>
              <w:rPr>
                <w:rFonts w:ascii="Times New Roman"/>
                <w:b/>
                <w:sz w:val="22"/>
              </w:rPr>
              <w:t>A.</w:t>
            </w:r>
          </w:p>
        </w:tc>
        <w:tc>
          <w:tcPr>
            <w:tcW w:w="4243" w:type="dxa"/>
          </w:tcPr>
          <w:p>
            <w:pPr>
              <w:pStyle w:val="TableParagraph"/>
              <w:spacing w:line="232" w:lineRule="exact" w:before="0"/>
              <w:ind w:left="110"/>
              <w:jc w:val="left"/>
              <w:rPr>
                <w:rFonts w:ascii="Times New Roman"/>
                <w:b/>
                <w:sz w:val="22"/>
              </w:rPr>
            </w:pPr>
            <w:r>
              <w:rPr>
                <w:rFonts w:ascii="Times New Roman"/>
                <w:b/>
                <w:sz w:val="22"/>
              </w:rPr>
              <w:t>UKUPNI PRIHODI</w:t>
            </w:r>
          </w:p>
        </w:tc>
        <w:tc>
          <w:tcPr>
            <w:tcW w:w="1560" w:type="dxa"/>
          </w:tcPr>
          <w:p>
            <w:pPr>
              <w:pStyle w:val="TableParagraph"/>
              <w:spacing w:line="232" w:lineRule="exact" w:before="0"/>
              <w:ind w:right="93"/>
              <w:rPr>
                <w:rFonts w:ascii="Times New Roman"/>
                <w:b/>
                <w:sz w:val="22"/>
              </w:rPr>
            </w:pPr>
            <w:r>
              <w:rPr>
                <w:rFonts w:ascii="Times New Roman"/>
                <w:b/>
                <w:sz w:val="22"/>
              </w:rPr>
              <w:t>6.297.502,22</w:t>
            </w:r>
          </w:p>
        </w:tc>
        <w:tc>
          <w:tcPr>
            <w:tcW w:w="1560" w:type="dxa"/>
          </w:tcPr>
          <w:p>
            <w:pPr>
              <w:pStyle w:val="TableParagraph"/>
              <w:spacing w:line="232" w:lineRule="exact" w:before="0"/>
              <w:ind w:right="90"/>
              <w:rPr>
                <w:rFonts w:ascii="Times New Roman"/>
                <w:b/>
                <w:sz w:val="22"/>
              </w:rPr>
            </w:pPr>
            <w:r>
              <w:rPr>
                <w:rFonts w:ascii="Times New Roman"/>
                <w:b/>
                <w:sz w:val="22"/>
              </w:rPr>
              <w:t>16.201.000,00</w:t>
            </w:r>
          </w:p>
        </w:tc>
        <w:tc>
          <w:tcPr>
            <w:tcW w:w="1558" w:type="dxa"/>
          </w:tcPr>
          <w:p>
            <w:pPr>
              <w:pStyle w:val="TableParagraph"/>
              <w:spacing w:line="232" w:lineRule="exact" w:before="0"/>
              <w:ind w:right="91"/>
              <w:rPr>
                <w:rFonts w:ascii="Times New Roman"/>
                <w:b/>
                <w:sz w:val="22"/>
              </w:rPr>
            </w:pPr>
            <w:r>
              <w:rPr>
                <w:rFonts w:ascii="Times New Roman"/>
                <w:b/>
                <w:sz w:val="22"/>
              </w:rPr>
              <w:t>7.461.994,93</w:t>
            </w:r>
          </w:p>
        </w:tc>
        <w:tc>
          <w:tcPr>
            <w:tcW w:w="852" w:type="dxa"/>
          </w:tcPr>
          <w:p>
            <w:pPr>
              <w:pStyle w:val="TableParagraph"/>
              <w:spacing w:line="232" w:lineRule="exact" w:before="0"/>
              <w:ind w:right="91"/>
              <w:rPr>
                <w:rFonts w:ascii="Times New Roman"/>
                <w:b/>
                <w:sz w:val="22"/>
              </w:rPr>
            </w:pPr>
            <w:r>
              <w:rPr>
                <w:rFonts w:ascii="Times New Roman"/>
                <w:b/>
                <w:sz w:val="22"/>
              </w:rPr>
              <w:t>118,49</w:t>
            </w:r>
          </w:p>
        </w:tc>
        <w:tc>
          <w:tcPr>
            <w:tcW w:w="850" w:type="dxa"/>
          </w:tcPr>
          <w:p>
            <w:pPr>
              <w:pStyle w:val="TableParagraph"/>
              <w:spacing w:line="232" w:lineRule="exact" w:before="0"/>
              <w:ind w:right="91"/>
              <w:rPr>
                <w:rFonts w:ascii="Times New Roman"/>
                <w:b/>
                <w:sz w:val="22"/>
              </w:rPr>
            </w:pPr>
            <w:r>
              <w:rPr>
                <w:rFonts w:ascii="Times New Roman"/>
                <w:b/>
                <w:sz w:val="22"/>
              </w:rPr>
              <w:t>46,06</w:t>
            </w:r>
          </w:p>
        </w:tc>
      </w:tr>
      <w:tr>
        <w:trPr>
          <w:trHeight w:val="253" w:hRule="atLeast"/>
        </w:trPr>
        <w:tc>
          <w:tcPr>
            <w:tcW w:w="566" w:type="dxa"/>
          </w:tcPr>
          <w:p>
            <w:pPr>
              <w:pStyle w:val="TableParagraph"/>
              <w:spacing w:line="234" w:lineRule="exact" w:before="0"/>
              <w:ind w:right="278"/>
              <w:rPr>
                <w:rFonts w:ascii="Times New Roman"/>
                <w:sz w:val="22"/>
              </w:rPr>
            </w:pPr>
            <w:r>
              <w:rPr>
                <w:rFonts w:ascii="Times New Roman"/>
                <w:sz w:val="22"/>
              </w:rPr>
              <w:t>1.</w:t>
            </w:r>
          </w:p>
        </w:tc>
        <w:tc>
          <w:tcPr>
            <w:tcW w:w="4243" w:type="dxa"/>
          </w:tcPr>
          <w:p>
            <w:pPr>
              <w:pStyle w:val="TableParagraph"/>
              <w:spacing w:line="234" w:lineRule="exact" w:before="0"/>
              <w:ind w:left="110"/>
              <w:jc w:val="left"/>
              <w:rPr>
                <w:rFonts w:ascii="Times New Roman"/>
                <w:sz w:val="22"/>
              </w:rPr>
            </w:pPr>
            <w:r>
              <w:rPr>
                <w:rFonts w:ascii="Times New Roman"/>
                <w:sz w:val="22"/>
              </w:rPr>
              <w:t>Prihodi poslovanja</w:t>
            </w:r>
          </w:p>
        </w:tc>
        <w:tc>
          <w:tcPr>
            <w:tcW w:w="1560" w:type="dxa"/>
          </w:tcPr>
          <w:p>
            <w:pPr>
              <w:pStyle w:val="TableParagraph"/>
              <w:spacing w:line="234" w:lineRule="exact" w:before="0"/>
              <w:ind w:right="93"/>
              <w:rPr>
                <w:rFonts w:ascii="Times New Roman"/>
                <w:sz w:val="22"/>
              </w:rPr>
            </w:pPr>
            <w:r>
              <w:rPr>
                <w:rFonts w:ascii="Times New Roman"/>
                <w:sz w:val="22"/>
              </w:rPr>
              <w:t>6.271.996,51</w:t>
            </w:r>
          </w:p>
        </w:tc>
        <w:tc>
          <w:tcPr>
            <w:tcW w:w="1560" w:type="dxa"/>
          </w:tcPr>
          <w:p>
            <w:pPr>
              <w:pStyle w:val="TableParagraph"/>
              <w:spacing w:line="234" w:lineRule="exact" w:before="0"/>
              <w:ind w:right="93"/>
              <w:rPr>
                <w:rFonts w:ascii="Times New Roman"/>
                <w:sz w:val="22"/>
              </w:rPr>
            </w:pPr>
            <w:r>
              <w:rPr>
                <w:rFonts w:ascii="Times New Roman"/>
                <w:sz w:val="22"/>
              </w:rPr>
              <w:t>16.112.000,00</w:t>
            </w:r>
          </w:p>
        </w:tc>
        <w:tc>
          <w:tcPr>
            <w:tcW w:w="1558" w:type="dxa"/>
          </w:tcPr>
          <w:p>
            <w:pPr>
              <w:pStyle w:val="TableParagraph"/>
              <w:spacing w:line="234" w:lineRule="exact" w:before="0"/>
              <w:ind w:right="91"/>
              <w:rPr>
                <w:rFonts w:ascii="Times New Roman"/>
                <w:sz w:val="22"/>
              </w:rPr>
            </w:pPr>
            <w:r>
              <w:rPr>
                <w:rFonts w:ascii="Times New Roman"/>
                <w:sz w:val="22"/>
              </w:rPr>
              <w:t>7.434.413,86</w:t>
            </w:r>
          </w:p>
        </w:tc>
        <w:tc>
          <w:tcPr>
            <w:tcW w:w="852" w:type="dxa"/>
          </w:tcPr>
          <w:p>
            <w:pPr>
              <w:pStyle w:val="TableParagraph"/>
              <w:spacing w:line="234" w:lineRule="exact" w:before="0"/>
              <w:ind w:right="91"/>
              <w:rPr>
                <w:rFonts w:ascii="Times New Roman"/>
                <w:sz w:val="22"/>
              </w:rPr>
            </w:pPr>
            <w:r>
              <w:rPr>
                <w:rFonts w:ascii="Times New Roman"/>
                <w:sz w:val="22"/>
              </w:rPr>
              <w:t>118,53</w:t>
            </w:r>
          </w:p>
        </w:tc>
        <w:tc>
          <w:tcPr>
            <w:tcW w:w="850" w:type="dxa"/>
          </w:tcPr>
          <w:p>
            <w:pPr>
              <w:pStyle w:val="TableParagraph"/>
              <w:spacing w:line="234" w:lineRule="exact" w:before="0"/>
              <w:ind w:right="91"/>
              <w:rPr>
                <w:rFonts w:ascii="Times New Roman"/>
                <w:sz w:val="22"/>
              </w:rPr>
            </w:pPr>
            <w:r>
              <w:rPr>
                <w:rFonts w:ascii="Times New Roman"/>
                <w:sz w:val="22"/>
              </w:rPr>
              <w:t>46,14</w:t>
            </w:r>
          </w:p>
        </w:tc>
      </w:tr>
      <w:tr>
        <w:trPr>
          <w:trHeight w:val="251" w:hRule="atLeast"/>
        </w:trPr>
        <w:tc>
          <w:tcPr>
            <w:tcW w:w="566" w:type="dxa"/>
          </w:tcPr>
          <w:p>
            <w:pPr>
              <w:pStyle w:val="TableParagraph"/>
              <w:spacing w:line="232" w:lineRule="exact" w:before="0"/>
              <w:ind w:right="278"/>
              <w:rPr>
                <w:rFonts w:ascii="Times New Roman"/>
                <w:sz w:val="22"/>
              </w:rPr>
            </w:pPr>
            <w:r>
              <w:rPr>
                <w:rFonts w:ascii="Times New Roman"/>
                <w:sz w:val="22"/>
              </w:rPr>
              <w:t>2.</w:t>
            </w:r>
          </w:p>
        </w:tc>
        <w:tc>
          <w:tcPr>
            <w:tcW w:w="4243" w:type="dxa"/>
          </w:tcPr>
          <w:p>
            <w:pPr>
              <w:pStyle w:val="TableParagraph"/>
              <w:spacing w:line="232" w:lineRule="exact" w:before="0"/>
              <w:ind w:left="110"/>
              <w:jc w:val="left"/>
              <w:rPr>
                <w:rFonts w:ascii="Times New Roman"/>
                <w:sz w:val="22"/>
              </w:rPr>
            </w:pPr>
            <w:r>
              <w:rPr>
                <w:rFonts w:ascii="Times New Roman"/>
                <w:sz w:val="22"/>
              </w:rPr>
              <w:t>Prihodi od prodaje nefinancijske imovine</w:t>
            </w:r>
          </w:p>
        </w:tc>
        <w:tc>
          <w:tcPr>
            <w:tcW w:w="1560" w:type="dxa"/>
          </w:tcPr>
          <w:p>
            <w:pPr>
              <w:pStyle w:val="TableParagraph"/>
              <w:spacing w:line="232" w:lineRule="exact" w:before="0"/>
              <w:ind w:right="90"/>
              <w:rPr>
                <w:rFonts w:ascii="Times New Roman"/>
                <w:sz w:val="22"/>
              </w:rPr>
            </w:pPr>
            <w:r>
              <w:rPr>
                <w:rFonts w:ascii="Times New Roman"/>
                <w:sz w:val="22"/>
              </w:rPr>
              <w:t>25.505,71</w:t>
            </w:r>
          </w:p>
        </w:tc>
        <w:tc>
          <w:tcPr>
            <w:tcW w:w="1560" w:type="dxa"/>
          </w:tcPr>
          <w:p>
            <w:pPr>
              <w:pStyle w:val="TableParagraph"/>
              <w:spacing w:line="232" w:lineRule="exact" w:before="0"/>
              <w:ind w:right="90"/>
              <w:rPr>
                <w:rFonts w:ascii="Times New Roman"/>
                <w:sz w:val="22"/>
              </w:rPr>
            </w:pPr>
            <w:r>
              <w:rPr>
                <w:rFonts w:ascii="Times New Roman"/>
                <w:sz w:val="22"/>
              </w:rPr>
              <w:t>89.000,00</w:t>
            </w:r>
          </w:p>
        </w:tc>
        <w:tc>
          <w:tcPr>
            <w:tcW w:w="1558" w:type="dxa"/>
          </w:tcPr>
          <w:p>
            <w:pPr>
              <w:pStyle w:val="TableParagraph"/>
              <w:spacing w:line="232" w:lineRule="exact" w:before="0"/>
              <w:ind w:right="88"/>
              <w:rPr>
                <w:rFonts w:ascii="Times New Roman"/>
                <w:sz w:val="22"/>
              </w:rPr>
            </w:pPr>
            <w:r>
              <w:rPr>
                <w:rFonts w:ascii="Times New Roman"/>
                <w:sz w:val="22"/>
              </w:rPr>
              <w:t>27.581,07</w:t>
            </w:r>
          </w:p>
        </w:tc>
        <w:tc>
          <w:tcPr>
            <w:tcW w:w="852" w:type="dxa"/>
          </w:tcPr>
          <w:p>
            <w:pPr>
              <w:pStyle w:val="TableParagraph"/>
              <w:spacing w:line="232" w:lineRule="exact" w:before="0"/>
              <w:ind w:right="91"/>
              <w:rPr>
                <w:rFonts w:ascii="Times New Roman"/>
                <w:sz w:val="22"/>
              </w:rPr>
            </w:pPr>
            <w:r>
              <w:rPr>
                <w:rFonts w:ascii="Times New Roman"/>
                <w:sz w:val="22"/>
              </w:rPr>
              <w:t>108,14</w:t>
            </w:r>
          </w:p>
        </w:tc>
        <w:tc>
          <w:tcPr>
            <w:tcW w:w="850" w:type="dxa"/>
          </w:tcPr>
          <w:p>
            <w:pPr>
              <w:pStyle w:val="TableParagraph"/>
              <w:spacing w:line="232" w:lineRule="exact" w:before="0"/>
              <w:ind w:right="91"/>
              <w:rPr>
                <w:rFonts w:ascii="Times New Roman"/>
                <w:sz w:val="22"/>
              </w:rPr>
            </w:pPr>
            <w:r>
              <w:rPr>
                <w:rFonts w:ascii="Times New Roman"/>
                <w:sz w:val="22"/>
              </w:rPr>
              <w:t>30,99</w:t>
            </w:r>
          </w:p>
        </w:tc>
      </w:tr>
      <w:tr>
        <w:trPr>
          <w:trHeight w:val="253" w:hRule="atLeast"/>
        </w:trPr>
        <w:tc>
          <w:tcPr>
            <w:tcW w:w="566" w:type="dxa"/>
          </w:tcPr>
          <w:p>
            <w:pPr>
              <w:pStyle w:val="TableParagraph"/>
              <w:spacing w:line="234" w:lineRule="exact" w:before="0"/>
              <w:ind w:right="241"/>
              <w:rPr>
                <w:rFonts w:ascii="Times New Roman"/>
                <w:b/>
                <w:sz w:val="22"/>
              </w:rPr>
            </w:pPr>
            <w:r>
              <w:rPr>
                <w:rFonts w:ascii="Times New Roman"/>
                <w:b/>
                <w:sz w:val="22"/>
              </w:rPr>
              <w:t>B.</w:t>
            </w:r>
          </w:p>
        </w:tc>
        <w:tc>
          <w:tcPr>
            <w:tcW w:w="4243" w:type="dxa"/>
          </w:tcPr>
          <w:p>
            <w:pPr>
              <w:pStyle w:val="TableParagraph"/>
              <w:spacing w:line="234" w:lineRule="exact" w:before="0"/>
              <w:ind w:left="110"/>
              <w:jc w:val="left"/>
              <w:rPr>
                <w:rFonts w:ascii="Times New Roman"/>
                <w:b/>
                <w:sz w:val="22"/>
              </w:rPr>
            </w:pPr>
            <w:r>
              <w:rPr>
                <w:rFonts w:ascii="Times New Roman"/>
                <w:b/>
                <w:sz w:val="22"/>
              </w:rPr>
              <w:t>UKUPNI RASHODI</w:t>
            </w:r>
          </w:p>
        </w:tc>
        <w:tc>
          <w:tcPr>
            <w:tcW w:w="1560" w:type="dxa"/>
          </w:tcPr>
          <w:p>
            <w:pPr>
              <w:pStyle w:val="TableParagraph"/>
              <w:spacing w:line="234" w:lineRule="exact" w:before="0"/>
              <w:ind w:right="93"/>
              <w:rPr>
                <w:rFonts w:ascii="Times New Roman"/>
                <w:b/>
                <w:sz w:val="22"/>
              </w:rPr>
            </w:pPr>
            <w:r>
              <w:rPr>
                <w:rFonts w:ascii="Times New Roman"/>
                <w:b/>
                <w:sz w:val="22"/>
              </w:rPr>
              <w:t>6.531.411,12</w:t>
            </w:r>
          </w:p>
        </w:tc>
        <w:tc>
          <w:tcPr>
            <w:tcW w:w="1560" w:type="dxa"/>
          </w:tcPr>
          <w:p>
            <w:pPr>
              <w:pStyle w:val="TableParagraph"/>
              <w:spacing w:line="234" w:lineRule="exact" w:before="0"/>
              <w:ind w:right="93"/>
              <w:rPr>
                <w:rFonts w:ascii="Times New Roman"/>
                <w:b/>
                <w:sz w:val="22"/>
              </w:rPr>
            </w:pPr>
            <w:r>
              <w:rPr>
                <w:rFonts w:ascii="Times New Roman"/>
                <w:b/>
                <w:sz w:val="22"/>
              </w:rPr>
              <w:t>20.418.660,87</w:t>
            </w:r>
          </w:p>
        </w:tc>
        <w:tc>
          <w:tcPr>
            <w:tcW w:w="1558" w:type="dxa"/>
          </w:tcPr>
          <w:p>
            <w:pPr>
              <w:pStyle w:val="TableParagraph"/>
              <w:spacing w:line="234" w:lineRule="exact" w:before="0"/>
              <w:ind w:right="91"/>
              <w:rPr>
                <w:rFonts w:ascii="Times New Roman"/>
                <w:b/>
                <w:sz w:val="22"/>
              </w:rPr>
            </w:pPr>
            <w:r>
              <w:rPr>
                <w:rFonts w:ascii="Times New Roman"/>
                <w:b/>
                <w:sz w:val="22"/>
              </w:rPr>
              <w:t>6.305.627,45</w:t>
            </w:r>
          </w:p>
        </w:tc>
        <w:tc>
          <w:tcPr>
            <w:tcW w:w="852" w:type="dxa"/>
          </w:tcPr>
          <w:p>
            <w:pPr>
              <w:pStyle w:val="TableParagraph"/>
              <w:spacing w:line="234" w:lineRule="exact" w:before="0"/>
              <w:ind w:right="91"/>
              <w:rPr>
                <w:rFonts w:ascii="Times New Roman"/>
                <w:b/>
                <w:sz w:val="22"/>
              </w:rPr>
            </w:pPr>
            <w:r>
              <w:rPr>
                <w:rFonts w:ascii="Times New Roman"/>
                <w:b/>
                <w:sz w:val="22"/>
              </w:rPr>
              <w:t>96,54</w:t>
            </w:r>
          </w:p>
        </w:tc>
        <w:tc>
          <w:tcPr>
            <w:tcW w:w="850" w:type="dxa"/>
          </w:tcPr>
          <w:p>
            <w:pPr>
              <w:pStyle w:val="TableParagraph"/>
              <w:spacing w:line="234" w:lineRule="exact" w:before="0"/>
              <w:ind w:right="91"/>
              <w:rPr>
                <w:rFonts w:ascii="Times New Roman"/>
                <w:b/>
                <w:sz w:val="22"/>
              </w:rPr>
            </w:pPr>
            <w:r>
              <w:rPr>
                <w:rFonts w:ascii="Times New Roman"/>
                <w:b/>
                <w:sz w:val="22"/>
              </w:rPr>
              <w:t>30,88</w:t>
            </w:r>
          </w:p>
        </w:tc>
      </w:tr>
      <w:tr>
        <w:trPr>
          <w:trHeight w:val="251" w:hRule="atLeast"/>
        </w:trPr>
        <w:tc>
          <w:tcPr>
            <w:tcW w:w="566" w:type="dxa"/>
          </w:tcPr>
          <w:p>
            <w:pPr>
              <w:pStyle w:val="TableParagraph"/>
              <w:spacing w:line="232" w:lineRule="exact" w:before="0"/>
              <w:ind w:right="278"/>
              <w:rPr>
                <w:rFonts w:ascii="Times New Roman"/>
                <w:sz w:val="22"/>
              </w:rPr>
            </w:pPr>
            <w:r>
              <w:rPr>
                <w:rFonts w:ascii="Times New Roman"/>
                <w:sz w:val="22"/>
              </w:rPr>
              <w:t>1.</w:t>
            </w:r>
          </w:p>
        </w:tc>
        <w:tc>
          <w:tcPr>
            <w:tcW w:w="4243" w:type="dxa"/>
          </w:tcPr>
          <w:p>
            <w:pPr>
              <w:pStyle w:val="TableParagraph"/>
              <w:spacing w:line="232" w:lineRule="exact" w:before="0"/>
              <w:ind w:left="110"/>
              <w:jc w:val="left"/>
              <w:rPr>
                <w:rFonts w:ascii="Times New Roman"/>
                <w:sz w:val="22"/>
              </w:rPr>
            </w:pPr>
            <w:r>
              <w:rPr>
                <w:rFonts w:ascii="Times New Roman"/>
                <w:sz w:val="22"/>
              </w:rPr>
              <w:t>Rashodi poslovanja</w:t>
            </w:r>
          </w:p>
        </w:tc>
        <w:tc>
          <w:tcPr>
            <w:tcW w:w="1560" w:type="dxa"/>
          </w:tcPr>
          <w:p>
            <w:pPr>
              <w:pStyle w:val="TableParagraph"/>
              <w:spacing w:line="232" w:lineRule="exact" w:before="0"/>
              <w:ind w:right="93"/>
              <w:rPr>
                <w:rFonts w:ascii="Times New Roman"/>
                <w:sz w:val="22"/>
              </w:rPr>
            </w:pPr>
            <w:r>
              <w:rPr>
                <w:rFonts w:ascii="Times New Roman"/>
                <w:sz w:val="22"/>
              </w:rPr>
              <w:t>5.624.343,05</w:t>
            </w:r>
          </w:p>
        </w:tc>
        <w:tc>
          <w:tcPr>
            <w:tcW w:w="1560" w:type="dxa"/>
          </w:tcPr>
          <w:p>
            <w:pPr>
              <w:pStyle w:val="TableParagraph"/>
              <w:spacing w:line="232" w:lineRule="exact" w:before="0"/>
              <w:ind w:right="93"/>
              <w:rPr>
                <w:rFonts w:ascii="Times New Roman"/>
                <w:sz w:val="22"/>
              </w:rPr>
            </w:pPr>
            <w:r>
              <w:rPr>
                <w:rFonts w:ascii="Times New Roman"/>
                <w:sz w:val="22"/>
              </w:rPr>
              <w:t>12.503.660,87</w:t>
            </w:r>
          </w:p>
        </w:tc>
        <w:tc>
          <w:tcPr>
            <w:tcW w:w="1558" w:type="dxa"/>
          </w:tcPr>
          <w:p>
            <w:pPr>
              <w:pStyle w:val="TableParagraph"/>
              <w:spacing w:line="232" w:lineRule="exact" w:before="0"/>
              <w:ind w:right="91"/>
              <w:rPr>
                <w:rFonts w:ascii="Times New Roman"/>
                <w:sz w:val="22"/>
              </w:rPr>
            </w:pPr>
            <w:r>
              <w:rPr>
                <w:rFonts w:ascii="Times New Roman"/>
                <w:sz w:val="22"/>
              </w:rPr>
              <w:t>5.373.775,76</w:t>
            </w:r>
          </w:p>
        </w:tc>
        <w:tc>
          <w:tcPr>
            <w:tcW w:w="852" w:type="dxa"/>
          </w:tcPr>
          <w:p>
            <w:pPr>
              <w:pStyle w:val="TableParagraph"/>
              <w:spacing w:line="232" w:lineRule="exact" w:before="0"/>
              <w:ind w:right="91"/>
              <w:rPr>
                <w:rFonts w:ascii="Times New Roman"/>
                <w:sz w:val="22"/>
              </w:rPr>
            </w:pPr>
            <w:r>
              <w:rPr>
                <w:rFonts w:ascii="Times New Roman"/>
                <w:sz w:val="22"/>
              </w:rPr>
              <w:t>95,54</w:t>
            </w:r>
          </w:p>
        </w:tc>
        <w:tc>
          <w:tcPr>
            <w:tcW w:w="850" w:type="dxa"/>
          </w:tcPr>
          <w:p>
            <w:pPr>
              <w:pStyle w:val="TableParagraph"/>
              <w:spacing w:line="232" w:lineRule="exact" w:before="0"/>
              <w:ind w:right="91"/>
              <w:rPr>
                <w:rFonts w:ascii="Times New Roman"/>
                <w:sz w:val="22"/>
              </w:rPr>
            </w:pPr>
            <w:r>
              <w:rPr>
                <w:rFonts w:ascii="Times New Roman"/>
                <w:sz w:val="22"/>
              </w:rPr>
              <w:t>42,98</w:t>
            </w:r>
          </w:p>
        </w:tc>
      </w:tr>
      <w:tr>
        <w:trPr>
          <w:trHeight w:val="253" w:hRule="atLeast"/>
        </w:trPr>
        <w:tc>
          <w:tcPr>
            <w:tcW w:w="566" w:type="dxa"/>
          </w:tcPr>
          <w:p>
            <w:pPr>
              <w:pStyle w:val="TableParagraph"/>
              <w:spacing w:line="234" w:lineRule="exact" w:before="0"/>
              <w:ind w:right="278"/>
              <w:rPr>
                <w:rFonts w:ascii="Times New Roman"/>
                <w:sz w:val="22"/>
              </w:rPr>
            </w:pPr>
            <w:r>
              <w:rPr>
                <w:rFonts w:ascii="Times New Roman"/>
                <w:sz w:val="22"/>
              </w:rPr>
              <w:t>2.</w:t>
            </w:r>
          </w:p>
        </w:tc>
        <w:tc>
          <w:tcPr>
            <w:tcW w:w="4243" w:type="dxa"/>
          </w:tcPr>
          <w:p>
            <w:pPr>
              <w:pStyle w:val="TableParagraph"/>
              <w:spacing w:line="234" w:lineRule="exact" w:before="0"/>
              <w:ind w:left="110"/>
              <w:jc w:val="left"/>
              <w:rPr>
                <w:rFonts w:ascii="Times New Roman"/>
                <w:sz w:val="22"/>
              </w:rPr>
            </w:pPr>
            <w:r>
              <w:rPr>
                <w:rFonts w:ascii="Times New Roman"/>
                <w:sz w:val="22"/>
              </w:rPr>
              <w:t>Rashodi za nabavu nefinancijske imovine</w:t>
            </w:r>
          </w:p>
        </w:tc>
        <w:tc>
          <w:tcPr>
            <w:tcW w:w="1560" w:type="dxa"/>
          </w:tcPr>
          <w:p>
            <w:pPr>
              <w:pStyle w:val="TableParagraph"/>
              <w:spacing w:line="234" w:lineRule="exact" w:before="0"/>
              <w:ind w:right="90"/>
              <w:rPr>
                <w:rFonts w:ascii="Times New Roman"/>
                <w:sz w:val="22"/>
              </w:rPr>
            </w:pPr>
            <w:r>
              <w:rPr>
                <w:rFonts w:ascii="Times New Roman"/>
                <w:sz w:val="22"/>
              </w:rPr>
              <w:t>907.068,07</w:t>
            </w:r>
          </w:p>
        </w:tc>
        <w:tc>
          <w:tcPr>
            <w:tcW w:w="1560" w:type="dxa"/>
          </w:tcPr>
          <w:p>
            <w:pPr>
              <w:pStyle w:val="TableParagraph"/>
              <w:spacing w:line="234" w:lineRule="exact" w:before="0"/>
              <w:ind w:right="90"/>
              <w:rPr>
                <w:rFonts w:ascii="Times New Roman"/>
                <w:sz w:val="22"/>
              </w:rPr>
            </w:pPr>
            <w:r>
              <w:rPr>
                <w:rFonts w:ascii="Times New Roman"/>
                <w:sz w:val="22"/>
              </w:rPr>
              <w:t>7.915.000,00</w:t>
            </w:r>
          </w:p>
        </w:tc>
        <w:tc>
          <w:tcPr>
            <w:tcW w:w="1558" w:type="dxa"/>
          </w:tcPr>
          <w:p>
            <w:pPr>
              <w:pStyle w:val="TableParagraph"/>
              <w:spacing w:line="234" w:lineRule="exact" w:before="0"/>
              <w:ind w:right="88"/>
              <w:rPr>
                <w:rFonts w:ascii="Times New Roman"/>
                <w:sz w:val="22"/>
              </w:rPr>
            </w:pPr>
            <w:r>
              <w:rPr>
                <w:rFonts w:ascii="Times New Roman"/>
                <w:sz w:val="22"/>
              </w:rPr>
              <w:t>931.851,69</w:t>
            </w:r>
          </w:p>
        </w:tc>
        <w:tc>
          <w:tcPr>
            <w:tcW w:w="852" w:type="dxa"/>
          </w:tcPr>
          <w:p>
            <w:pPr>
              <w:pStyle w:val="TableParagraph"/>
              <w:spacing w:line="234" w:lineRule="exact" w:before="0"/>
              <w:ind w:right="91"/>
              <w:rPr>
                <w:rFonts w:ascii="Times New Roman"/>
                <w:sz w:val="22"/>
              </w:rPr>
            </w:pPr>
            <w:r>
              <w:rPr>
                <w:rFonts w:ascii="Times New Roman"/>
                <w:sz w:val="22"/>
              </w:rPr>
              <w:t>102,73</w:t>
            </w:r>
          </w:p>
        </w:tc>
        <w:tc>
          <w:tcPr>
            <w:tcW w:w="850" w:type="dxa"/>
          </w:tcPr>
          <w:p>
            <w:pPr>
              <w:pStyle w:val="TableParagraph"/>
              <w:spacing w:line="234" w:lineRule="exact" w:before="0"/>
              <w:ind w:right="91"/>
              <w:rPr>
                <w:rFonts w:ascii="Times New Roman"/>
                <w:sz w:val="22"/>
              </w:rPr>
            </w:pPr>
            <w:r>
              <w:rPr>
                <w:rFonts w:ascii="Times New Roman"/>
                <w:sz w:val="22"/>
              </w:rPr>
              <w:t>11,77</w:t>
            </w:r>
          </w:p>
        </w:tc>
      </w:tr>
      <w:tr>
        <w:trPr>
          <w:trHeight w:val="254" w:hRule="atLeast"/>
        </w:trPr>
        <w:tc>
          <w:tcPr>
            <w:tcW w:w="566" w:type="dxa"/>
          </w:tcPr>
          <w:p>
            <w:pPr>
              <w:pStyle w:val="TableParagraph"/>
              <w:spacing w:line="234" w:lineRule="exact" w:before="0"/>
              <w:ind w:right="229"/>
              <w:rPr>
                <w:rFonts w:ascii="Times New Roman"/>
                <w:b/>
                <w:sz w:val="22"/>
              </w:rPr>
            </w:pPr>
            <w:r>
              <w:rPr>
                <w:rFonts w:ascii="Times New Roman"/>
                <w:b/>
                <w:sz w:val="22"/>
              </w:rPr>
              <w:t>C.</w:t>
            </w:r>
          </w:p>
        </w:tc>
        <w:tc>
          <w:tcPr>
            <w:tcW w:w="4243" w:type="dxa"/>
          </w:tcPr>
          <w:p>
            <w:pPr>
              <w:pStyle w:val="TableParagraph"/>
              <w:spacing w:line="234" w:lineRule="exact" w:before="0"/>
              <w:ind w:left="110"/>
              <w:jc w:val="left"/>
              <w:rPr>
                <w:rFonts w:ascii="Times New Roman"/>
                <w:b/>
                <w:sz w:val="22"/>
              </w:rPr>
            </w:pPr>
            <w:r>
              <w:rPr>
                <w:rFonts w:ascii="Times New Roman"/>
                <w:b/>
                <w:sz w:val="22"/>
              </w:rPr>
              <w:t>RAZLIKA PRIHODA I RASHODA (A-B)</w:t>
            </w:r>
          </w:p>
        </w:tc>
        <w:tc>
          <w:tcPr>
            <w:tcW w:w="1560" w:type="dxa"/>
          </w:tcPr>
          <w:p>
            <w:pPr>
              <w:pStyle w:val="TableParagraph"/>
              <w:spacing w:line="234" w:lineRule="exact" w:before="0"/>
              <w:ind w:right="93"/>
              <w:rPr>
                <w:rFonts w:ascii="Times New Roman"/>
                <w:b/>
                <w:sz w:val="22"/>
              </w:rPr>
            </w:pPr>
            <w:r>
              <w:rPr>
                <w:rFonts w:ascii="Times New Roman"/>
                <w:b/>
                <w:sz w:val="22"/>
              </w:rPr>
              <w:t>-233.908,90</w:t>
            </w:r>
          </w:p>
        </w:tc>
        <w:tc>
          <w:tcPr>
            <w:tcW w:w="1560" w:type="dxa"/>
          </w:tcPr>
          <w:p>
            <w:pPr>
              <w:pStyle w:val="TableParagraph"/>
              <w:spacing w:line="234" w:lineRule="exact" w:before="0"/>
              <w:ind w:right="90"/>
              <w:rPr>
                <w:rFonts w:ascii="Times New Roman"/>
                <w:b/>
                <w:sz w:val="22"/>
              </w:rPr>
            </w:pPr>
            <w:r>
              <w:rPr>
                <w:rFonts w:ascii="Times New Roman"/>
                <w:b/>
                <w:sz w:val="22"/>
              </w:rPr>
              <w:t>- 4.217.660,87</w:t>
            </w:r>
          </w:p>
        </w:tc>
        <w:tc>
          <w:tcPr>
            <w:tcW w:w="1558" w:type="dxa"/>
          </w:tcPr>
          <w:p>
            <w:pPr>
              <w:pStyle w:val="TableParagraph"/>
              <w:spacing w:line="234" w:lineRule="exact" w:before="0"/>
              <w:ind w:right="91"/>
              <w:rPr>
                <w:rFonts w:ascii="Times New Roman"/>
                <w:b/>
                <w:sz w:val="22"/>
              </w:rPr>
            </w:pPr>
            <w:r>
              <w:rPr>
                <w:rFonts w:ascii="Times New Roman"/>
                <w:b/>
                <w:sz w:val="22"/>
              </w:rPr>
              <w:t>1.156.367,48</w:t>
            </w:r>
          </w:p>
        </w:tc>
        <w:tc>
          <w:tcPr>
            <w:tcW w:w="852" w:type="dxa"/>
          </w:tcPr>
          <w:p>
            <w:pPr>
              <w:pStyle w:val="TableParagraph"/>
              <w:spacing w:line="234" w:lineRule="exact" w:before="0"/>
              <w:ind w:right="93"/>
              <w:rPr>
                <w:rFonts w:ascii="Times New Roman"/>
                <w:b/>
                <w:sz w:val="22"/>
              </w:rPr>
            </w:pPr>
            <w:r>
              <w:rPr>
                <w:rFonts w:ascii="Times New Roman"/>
                <w:b/>
                <w:sz w:val="22"/>
              </w:rPr>
              <w:t>xxx</w:t>
            </w:r>
          </w:p>
        </w:tc>
        <w:tc>
          <w:tcPr>
            <w:tcW w:w="850" w:type="dxa"/>
          </w:tcPr>
          <w:p>
            <w:pPr>
              <w:pStyle w:val="TableParagraph"/>
              <w:spacing w:line="234" w:lineRule="exact" w:before="0"/>
              <w:ind w:right="93"/>
              <w:rPr>
                <w:rFonts w:ascii="Times New Roman"/>
                <w:b/>
                <w:sz w:val="22"/>
              </w:rPr>
            </w:pPr>
            <w:r>
              <w:rPr>
                <w:rFonts w:ascii="Times New Roman"/>
                <w:b/>
                <w:sz w:val="22"/>
              </w:rPr>
              <w:t>xxx</w:t>
            </w:r>
          </w:p>
        </w:tc>
      </w:tr>
    </w:tbl>
    <w:p>
      <w:pPr>
        <w:spacing w:after="0" w:line="234" w:lineRule="exact"/>
        <w:rPr>
          <w:rFonts w:ascii="Times New Roman"/>
          <w:sz w:val="22"/>
        </w:rPr>
        <w:sectPr>
          <w:footerReference w:type="default" r:id="rId13"/>
          <w:pgSz w:w="11910" w:h="16840"/>
          <w:pgMar w:footer="769" w:header="0" w:top="900" w:bottom="960" w:left="160" w:right="20"/>
          <w:pgNumType w:start="1"/>
        </w:sectPr>
      </w:pPr>
    </w:p>
    <w:tbl>
      <w:tblPr>
        <w:tblW w:w="0" w:type="auto"/>
        <w:jc w:val="left"/>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4243"/>
        <w:gridCol w:w="1560"/>
        <w:gridCol w:w="1560"/>
        <w:gridCol w:w="1558"/>
        <w:gridCol w:w="852"/>
        <w:gridCol w:w="850"/>
      </w:tblGrid>
      <w:tr>
        <w:trPr>
          <w:trHeight w:val="506" w:hRule="atLeast"/>
        </w:trPr>
        <w:tc>
          <w:tcPr>
            <w:tcW w:w="566" w:type="dxa"/>
          </w:tcPr>
          <w:p>
            <w:pPr>
              <w:pStyle w:val="TableParagraph"/>
              <w:spacing w:line="247" w:lineRule="exact" w:before="0"/>
              <w:ind w:left="110"/>
              <w:jc w:val="left"/>
              <w:rPr>
                <w:rFonts w:ascii="Times New Roman"/>
                <w:b/>
                <w:sz w:val="22"/>
              </w:rPr>
            </w:pPr>
            <w:r>
              <w:rPr>
                <w:rFonts w:ascii="Times New Roman"/>
                <w:b/>
                <w:sz w:val="22"/>
              </w:rPr>
              <w:t>D.</w:t>
            </w:r>
          </w:p>
        </w:tc>
        <w:tc>
          <w:tcPr>
            <w:tcW w:w="4243" w:type="dxa"/>
          </w:tcPr>
          <w:p>
            <w:pPr>
              <w:pStyle w:val="TableParagraph"/>
              <w:spacing w:line="247" w:lineRule="exact" w:before="0"/>
              <w:ind w:left="110"/>
              <w:jc w:val="left"/>
              <w:rPr>
                <w:rFonts w:ascii="Times New Roman" w:hAnsi="Times New Roman"/>
                <w:b/>
                <w:sz w:val="22"/>
              </w:rPr>
            </w:pPr>
            <w:r>
              <w:rPr>
                <w:rFonts w:ascii="Times New Roman" w:hAnsi="Times New Roman"/>
                <w:b/>
                <w:sz w:val="22"/>
              </w:rPr>
              <w:t>RASPOLOŽIVA SREDSTVA IZ</w:t>
            </w:r>
          </w:p>
          <w:p>
            <w:pPr>
              <w:pStyle w:val="TableParagraph"/>
              <w:spacing w:line="239" w:lineRule="exact" w:before="0"/>
              <w:ind w:left="110"/>
              <w:jc w:val="left"/>
              <w:rPr>
                <w:rFonts w:ascii="Times New Roman"/>
                <w:b/>
                <w:sz w:val="22"/>
              </w:rPr>
            </w:pPr>
            <w:r>
              <w:rPr>
                <w:rFonts w:ascii="Times New Roman"/>
                <w:b/>
                <w:sz w:val="22"/>
              </w:rPr>
              <w:t>PRETHODNIH GODINA</w:t>
            </w:r>
          </w:p>
        </w:tc>
        <w:tc>
          <w:tcPr>
            <w:tcW w:w="1560" w:type="dxa"/>
          </w:tcPr>
          <w:p>
            <w:pPr>
              <w:pStyle w:val="TableParagraph"/>
              <w:spacing w:before="4"/>
              <w:jc w:val="left"/>
              <w:rPr>
                <w:rFonts w:ascii="Times New Roman"/>
                <w:sz w:val="21"/>
              </w:rPr>
            </w:pPr>
          </w:p>
          <w:p>
            <w:pPr>
              <w:pStyle w:val="TableParagraph"/>
              <w:spacing w:line="240" w:lineRule="exact" w:before="1"/>
              <w:ind w:right="93"/>
              <w:rPr>
                <w:rFonts w:ascii="Times New Roman"/>
                <w:b/>
                <w:sz w:val="22"/>
              </w:rPr>
            </w:pPr>
            <w:r>
              <w:rPr>
                <w:rFonts w:ascii="Times New Roman"/>
                <w:b/>
                <w:sz w:val="22"/>
              </w:rPr>
              <w:t>-1.077.500,22</w:t>
            </w:r>
          </w:p>
        </w:tc>
        <w:tc>
          <w:tcPr>
            <w:tcW w:w="1560" w:type="dxa"/>
          </w:tcPr>
          <w:p>
            <w:pPr>
              <w:pStyle w:val="TableParagraph"/>
              <w:spacing w:before="4"/>
              <w:jc w:val="left"/>
              <w:rPr>
                <w:rFonts w:ascii="Times New Roman"/>
                <w:sz w:val="21"/>
              </w:rPr>
            </w:pPr>
          </w:p>
          <w:p>
            <w:pPr>
              <w:pStyle w:val="TableParagraph"/>
              <w:spacing w:line="240" w:lineRule="exact" w:before="1"/>
              <w:ind w:right="90"/>
              <w:rPr>
                <w:rFonts w:ascii="Times New Roman"/>
                <w:b/>
                <w:sz w:val="22"/>
              </w:rPr>
            </w:pPr>
            <w:r>
              <w:rPr>
                <w:rFonts w:ascii="Times New Roman"/>
                <w:b/>
                <w:sz w:val="22"/>
              </w:rPr>
              <w:t>-1.282.339,13</w:t>
            </w:r>
          </w:p>
        </w:tc>
        <w:tc>
          <w:tcPr>
            <w:tcW w:w="1558" w:type="dxa"/>
          </w:tcPr>
          <w:p>
            <w:pPr>
              <w:pStyle w:val="TableParagraph"/>
              <w:spacing w:before="4"/>
              <w:jc w:val="left"/>
              <w:rPr>
                <w:rFonts w:ascii="Times New Roman"/>
                <w:sz w:val="21"/>
              </w:rPr>
            </w:pPr>
          </w:p>
          <w:p>
            <w:pPr>
              <w:pStyle w:val="TableParagraph"/>
              <w:spacing w:line="240" w:lineRule="exact" w:before="1"/>
              <w:ind w:right="91"/>
              <w:rPr>
                <w:rFonts w:ascii="Times New Roman"/>
                <w:b/>
                <w:sz w:val="22"/>
              </w:rPr>
            </w:pPr>
            <w:r>
              <w:rPr>
                <w:rFonts w:ascii="Times New Roman"/>
                <w:b/>
                <w:sz w:val="22"/>
              </w:rPr>
              <w:t>-1.282.339,13</w:t>
            </w:r>
          </w:p>
        </w:tc>
        <w:tc>
          <w:tcPr>
            <w:tcW w:w="852" w:type="dxa"/>
          </w:tcPr>
          <w:p>
            <w:pPr>
              <w:pStyle w:val="TableParagraph"/>
              <w:spacing w:before="4"/>
              <w:jc w:val="left"/>
              <w:rPr>
                <w:rFonts w:ascii="Times New Roman"/>
                <w:sz w:val="21"/>
              </w:rPr>
            </w:pPr>
          </w:p>
          <w:p>
            <w:pPr>
              <w:pStyle w:val="TableParagraph"/>
              <w:spacing w:line="240" w:lineRule="exact" w:before="1"/>
              <w:ind w:right="91"/>
              <w:rPr>
                <w:rFonts w:ascii="Times New Roman"/>
                <w:b/>
                <w:sz w:val="22"/>
              </w:rPr>
            </w:pPr>
            <w:r>
              <w:rPr>
                <w:rFonts w:ascii="Times New Roman"/>
                <w:b/>
                <w:sz w:val="22"/>
              </w:rPr>
              <w:t>103,37</w:t>
            </w:r>
          </w:p>
        </w:tc>
        <w:tc>
          <w:tcPr>
            <w:tcW w:w="850" w:type="dxa"/>
          </w:tcPr>
          <w:p>
            <w:pPr>
              <w:pStyle w:val="TableParagraph"/>
              <w:spacing w:before="4"/>
              <w:jc w:val="left"/>
              <w:rPr>
                <w:rFonts w:ascii="Times New Roman"/>
                <w:sz w:val="21"/>
              </w:rPr>
            </w:pPr>
          </w:p>
          <w:p>
            <w:pPr>
              <w:pStyle w:val="TableParagraph"/>
              <w:spacing w:line="240" w:lineRule="exact" w:before="1"/>
              <w:ind w:right="91"/>
              <w:rPr>
                <w:rFonts w:ascii="Times New Roman"/>
                <w:b/>
                <w:sz w:val="22"/>
              </w:rPr>
            </w:pPr>
            <w:r>
              <w:rPr>
                <w:rFonts w:ascii="Times New Roman"/>
                <w:b/>
                <w:sz w:val="22"/>
              </w:rPr>
              <w:t>100,00</w:t>
            </w:r>
          </w:p>
        </w:tc>
      </w:tr>
      <w:tr>
        <w:trPr>
          <w:trHeight w:val="505" w:hRule="atLeast"/>
        </w:trPr>
        <w:tc>
          <w:tcPr>
            <w:tcW w:w="566" w:type="dxa"/>
          </w:tcPr>
          <w:p>
            <w:pPr>
              <w:pStyle w:val="TableParagraph"/>
              <w:spacing w:line="247" w:lineRule="exact" w:before="0"/>
              <w:ind w:left="110"/>
              <w:jc w:val="left"/>
              <w:rPr>
                <w:rFonts w:ascii="Times New Roman"/>
                <w:b/>
                <w:sz w:val="22"/>
              </w:rPr>
            </w:pPr>
            <w:r>
              <w:rPr>
                <w:rFonts w:ascii="Times New Roman"/>
                <w:b/>
                <w:sz w:val="22"/>
              </w:rPr>
              <w:t>E.</w:t>
            </w:r>
          </w:p>
        </w:tc>
        <w:tc>
          <w:tcPr>
            <w:tcW w:w="4243" w:type="dxa"/>
          </w:tcPr>
          <w:p>
            <w:pPr>
              <w:pStyle w:val="TableParagraph"/>
              <w:spacing w:line="247" w:lineRule="exact" w:before="0"/>
              <w:ind w:left="110"/>
              <w:jc w:val="left"/>
              <w:rPr>
                <w:rFonts w:ascii="Times New Roman"/>
                <w:b/>
                <w:sz w:val="22"/>
              </w:rPr>
            </w:pPr>
            <w:r>
              <w:rPr>
                <w:rFonts w:ascii="Times New Roman"/>
                <w:b/>
                <w:sz w:val="22"/>
              </w:rPr>
              <w:t>IZDACI ZA FINANC.IMOVINU I</w:t>
            </w:r>
          </w:p>
          <w:p>
            <w:pPr>
              <w:pStyle w:val="TableParagraph"/>
              <w:spacing w:line="239" w:lineRule="exact" w:before="0"/>
              <w:ind w:left="110"/>
              <w:jc w:val="left"/>
              <w:rPr>
                <w:rFonts w:ascii="Times New Roman"/>
                <w:b/>
                <w:sz w:val="22"/>
              </w:rPr>
            </w:pPr>
            <w:r>
              <w:rPr>
                <w:rFonts w:ascii="Times New Roman"/>
                <w:b/>
                <w:sz w:val="22"/>
              </w:rPr>
              <w:t>OTPLATE ZAJMOVA</w:t>
            </w:r>
          </w:p>
        </w:tc>
        <w:tc>
          <w:tcPr>
            <w:tcW w:w="1560" w:type="dxa"/>
          </w:tcPr>
          <w:p>
            <w:pPr>
              <w:pStyle w:val="TableParagraph"/>
              <w:spacing w:before="4"/>
              <w:jc w:val="left"/>
              <w:rPr>
                <w:rFonts w:ascii="Times New Roman"/>
                <w:sz w:val="21"/>
              </w:rPr>
            </w:pPr>
          </w:p>
          <w:p>
            <w:pPr>
              <w:pStyle w:val="TableParagraph"/>
              <w:spacing w:line="240" w:lineRule="exact" w:before="1"/>
              <w:ind w:right="93"/>
              <w:rPr>
                <w:rFonts w:ascii="Times New Roman"/>
                <w:b/>
                <w:sz w:val="22"/>
              </w:rPr>
            </w:pPr>
            <w:r>
              <w:rPr>
                <w:rFonts w:ascii="Times New Roman"/>
                <w:b/>
                <w:sz w:val="22"/>
              </w:rPr>
              <w:t>-33.559,19</w:t>
            </w:r>
          </w:p>
        </w:tc>
        <w:tc>
          <w:tcPr>
            <w:tcW w:w="1560" w:type="dxa"/>
          </w:tcPr>
          <w:p>
            <w:pPr>
              <w:pStyle w:val="TableParagraph"/>
              <w:spacing w:before="4"/>
              <w:jc w:val="left"/>
              <w:rPr>
                <w:rFonts w:ascii="Times New Roman"/>
                <w:sz w:val="21"/>
              </w:rPr>
            </w:pPr>
          </w:p>
          <w:p>
            <w:pPr>
              <w:pStyle w:val="TableParagraph"/>
              <w:spacing w:line="240" w:lineRule="exact" w:before="1"/>
              <w:ind w:right="93"/>
              <w:rPr>
                <w:rFonts w:ascii="Times New Roman"/>
                <w:b/>
                <w:sz w:val="22"/>
              </w:rPr>
            </w:pPr>
            <w:r>
              <w:rPr>
                <w:rFonts w:ascii="Times New Roman"/>
                <w:b/>
                <w:sz w:val="22"/>
              </w:rPr>
              <w:t>0,00</w:t>
            </w:r>
          </w:p>
        </w:tc>
        <w:tc>
          <w:tcPr>
            <w:tcW w:w="1558" w:type="dxa"/>
          </w:tcPr>
          <w:p>
            <w:pPr>
              <w:pStyle w:val="TableParagraph"/>
              <w:spacing w:before="4"/>
              <w:jc w:val="left"/>
              <w:rPr>
                <w:rFonts w:ascii="Times New Roman"/>
                <w:sz w:val="21"/>
              </w:rPr>
            </w:pPr>
          </w:p>
          <w:p>
            <w:pPr>
              <w:pStyle w:val="TableParagraph"/>
              <w:spacing w:line="240" w:lineRule="exact" w:before="1"/>
              <w:ind w:right="91"/>
              <w:rPr>
                <w:rFonts w:ascii="Times New Roman"/>
                <w:b/>
                <w:sz w:val="22"/>
              </w:rPr>
            </w:pPr>
            <w:r>
              <w:rPr>
                <w:rFonts w:ascii="Times New Roman"/>
                <w:b/>
                <w:sz w:val="22"/>
              </w:rPr>
              <w:t>0,00</w:t>
            </w:r>
          </w:p>
        </w:tc>
        <w:tc>
          <w:tcPr>
            <w:tcW w:w="852" w:type="dxa"/>
          </w:tcPr>
          <w:p>
            <w:pPr>
              <w:pStyle w:val="TableParagraph"/>
              <w:spacing w:before="4"/>
              <w:jc w:val="left"/>
              <w:rPr>
                <w:rFonts w:ascii="Times New Roman"/>
                <w:sz w:val="21"/>
              </w:rPr>
            </w:pPr>
          </w:p>
          <w:p>
            <w:pPr>
              <w:pStyle w:val="TableParagraph"/>
              <w:spacing w:line="240" w:lineRule="exact" w:before="1"/>
              <w:ind w:right="93"/>
              <w:rPr>
                <w:rFonts w:ascii="Times New Roman"/>
                <w:b/>
                <w:sz w:val="22"/>
              </w:rPr>
            </w:pPr>
            <w:r>
              <w:rPr>
                <w:rFonts w:ascii="Times New Roman"/>
                <w:b/>
                <w:sz w:val="22"/>
              </w:rPr>
              <w:t>xxx</w:t>
            </w:r>
          </w:p>
        </w:tc>
        <w:tc>
          <w:tcPr>
            <w:tcW w:w="850" w:type="dxa"/>
          </w:tcPr>
          <w:p>
            <w:pPr>
              <w:pStyle w:val="TableParagraph"/>
              <w:spacing w:before="4"/>
              <w:jc w:val="left"/>
              <w:rPr>
                <w:rFonts w:ascii="Times New Roman"/>
                <w:sz w:val="21"/>
              </w:rPr>
            </w:pPr>
          </w:p>
          <w:p>
            <w:pPr>
              <w:pStyle w:val="TableParagraph"/>
              <w:spacing w:line="240" w:lineRule="exact" w:before="1"/>
              <w:ind w:right="91"/>
              <w:rPr>
                <w:rFonts w:ascii="Times New Roman"/>
                <w:b/>
                <w:sz w:val="22"/>
              </w:rPr>
            </w:pPr>
            <w:r>
              <w:rPr>
                <w:rFonts w:ascii="Times New Roman"/>
                <w:b/>
                <w:sz w:val="22"/>
              </w:rPr>
              <w:t>xxx</w:t>
            </w:r>
          </w:p>
        </w:tc>
      </w:tr>
      <w:tr>
        <w:trPr>
          <w:trHeight w:val="505" w:hRule="atLeast"/>
        </w:trPr>
        <w:tc>
          <w:tcPr>
            <w:tcW w:w="566" w:type="dxa"/>
          </w:tcPr>
          <w:p>
            <w:pPr>
              <w:pStyle w:val="TableParagraph"/>
              <w:spacing w:line="247" w:lineRule="exact" w:before="0"/>
              <w:ind w:left="110"/>
              <w:jc w:val="left"/>
              <w:rPr>
                <w:rFonts w:ascii="Times New Roman"/>
                <w:b/>
                <w:sz w:val="22"/>
              </w:rPr>
            </w:pPr>
            <w:r>
              <w:rPr>
                <w:rFonts w:ascii="Times New Roman"/>
                <w:b/>
                <w:sz w:val="22"/>
              </w:rPr>
              <w:t>F.</w:t>
            </w:r>
          </w:p>
        </w:tc>
        <w:tc>
          <w:tcPr>
            <w:tcW w:w="4243" w:type="dxa"/>
          </w:tcPr>
          <w:p>
            <w:pPr>
              <w:pStyle w:val="TableParagraph"/>
              <w:spacing w:line="247" w:lineRule="exact" w:before="0"/>
              <w:ind w:left="110"/>
              <w:jc w:val="left"/>
              <w:rPr>
                <w:rFonts w:ascii="Times New Roman"/>
                <w:b/>
                <w:sz w:val="22"/>
              </w:rPr>
            </w:pPr>
            <w:r>
              <w:rPr>
                <w:rFonts w:ascii="Times New Roman"/>
                <w:b/>
                <w:sz w:val="22"/>
              </w:rPr>
              <w:t>PRIMICI OD FINANCIJSKE IMOVINE</w:t>
            </w:r>
          </w:p>
          <w:p>
            <w:pPr>
              <w:pStyle w:val="TableParagraph"/>
              <w:spacing w:line="239" w:lineRule="exact" w:before="0"/>
              <w:ind w:left="110"/>
              <w:jc w:val="left"/>
              <w:rPr>
                <w:rFonts w:ascii="Times New Roman" w:hAnsi="Times New Roman"/>
                <w:b/>
                <w:sz w:val="22"/>
              </w:rPr>
            </w:pPr>
            <w:r>
              <w:rPr>
                <w:rFonts w:ascii="Times New Roman" w:hAnsi="Times New Roman"/>
                <w:b/>
                <w:sz w:val="22"/>
              </w:rPr>
              <w:t>I ZADUŽIVANJA</w:t>
            </w:r>
          </w:p>
        </w:tc>
        <w:tc>
          <w:tcPr>
            <w:tcW w:w="1560" w:type="dxa"/>
          </w:tcPr>
          <w:p>
            <w:pPr>
              <w:pStyle w:val="TableParagraph"/>
              <w:spacing w:before="4"/>
              <w:jc w:val="left"/>
              <w:rPr>
                <w:rFonts w:ascii="Times New Roman"/>
                <w:sz w:val="21"/>
              </w:rPr>
            </w:pPr>
          </w:p>
          <w:p>
            <w:pPr>
              <w:pStyle w:val="TableParagraph"/>
              <w:spacing w:line="240" w:lineRule="exact" w:before="0"/>
              <w:ind w:right="93"/>
              <w:rPr>
                <w:rFonts w:ascii="Times New Roman"/>
                <w:b/>
                <w:sz w:val="22"/>
              </w:rPr>
            </w:pPr>
            <w:r>
              <w:rPr>
                <w:rFonts w:ascii="Times New Roman"/>
                <w:b/>
                <w:sz w:val="22"/>
              </w:rPr>
              <w:t>0,00</w:t>
            </w:r>
          </w:p>
        </w:tc>
        <w:tc>
          <w:tcPr>
            <w:tcW w:w="1560" w:type="dxa"/>
          </w:tcPr>
          <w:p>
            <w:pPr>
              <w:pStyle w:val="TableParagraph"/>
              <w:spacing w:before="4"/>
              <w:jc w:val="left"/>
              <w:rPr>
                <w:rFonts w:ascii="Times New Roman"/>
                <w:sz w:val="21"/>
              </w:rPr>
            </w:pPr>
          </w:p>
          <w:p>
            <w:pPr>
              <w:pStyle w:val="TableParagraph"/>
              <w:spacing w:line="240" w:lineRule="exact" w:before="0"/>
              <w:ind w:right="90"/>
              <w:rPr>
                <w:rFonts w:ascii="Times New Roman"/>
                <w:b/>
                <w:sz w:val="22"/>
              </w:rPr>
            </w:pPr>
            <w:r>
              <w:rPr>
                <w:rFonts w:ascii="Times New Roman"/>
                <w:b/>
                <w:sz w:val="22"/>
              </w:rPr>
              <w:t>5.500.000,00</w:t>
            </w:r>
          </w:p>
        </w:tc>
        <w:tc>
          <w:tcPr>
            <w:tcW w:w="1558" w:type="dxa"/>
          </w:tcPr>
          <w:p>
            <w:pPr>
              <w:pStyle w:val="TableParagraph"/>
              <w:spacing w:before="4"/>
              <w:jc w:val="left"/>
              <w:rPr>
                <w:rFonts w:ascii="Times New Roman"/>
                <w:sz w:val="21"/>
              </w:rPr>
            </w:pPr>
          </w:p>
          <w:p>
            <w:pPr>
              <w:pStyle w:val="TableParagraph"/>
              <w:spacing w:line="240" w:lineRule="exact" w:before="0"/>
              <w:ind w:right="91"/>
              <w:rPr>
                <w:rFonts w:ascii="Times New Roman"/>
                <w:b/>
                <w:sz w:val="22"/>
              </w:rPr>
            </w:pPr>
            <w:r>
              <w:rPr>
                <w:rFonts w:ascii="Times New Roman"/>
                <w:b/>
                <w:sz w:val="22"/>
              </w:rPr>
              <w:t>0,00</w:t>
            </w:r>
          </w:p>
        </w:tc>
        <w:tc>
          <w:tcPr>
            <w:tcW w:w="852" w:type="dxa"/>
          </w:tcPr>
          <w:p>
            <w:pPr>
              <w:pStyle w:val="TableParagraph"/>
              <w:spacing w:before="4"/>
              <w:jc w:val="left"/>
              <w:rPr>
                <w:rFonts w:ascii="Times New Roman"/>
                <w:sz w:val="21"/>
              </w:rPr>
            </w:pPr>
          </w:p>
          <w:p>
            <w:pPr>
              <w:pStyle w:val="TableParagraph"/>
              <w:spacing w:line="240" w:lineRule="exact" w:before="0"/>
              <w:ind w:right="91"/>
              <w:rPr>
                <w:rFonts w:ascii="Times New Roman"/>
                <w:b/>
                <w:sz w:val="22"/>
              </w:rPr>
            </w:pPr>
            <w:r>
              <w:rPr>
                <w:rFonts w:ascii="Times New Roman"/>
                <w:b/>
                <w:sz w:val="22"/>
              </w:rPr>
              <w:t>0,00</w:t>
            </w:r>
          </w:p>
        </w:tc>
        <w:tc>
          <w:tcPr>
            <w:tcW w:w="850" w:type="dxa"/>
          </w:tcPr>
          <w:p>
            <w:pPr>
              <w:pStyle w:val="TableParagraph"/>
              <w:spacing w:before="4"/>
              <w:jc w:val="left"/>
              <w:rPr>
                <w:rFonts w:ascii="Times New Roman"/>
                <w:sz w:val="21"/>
              </w:rPr>
            </w:pPr>
          </w:p>
          <w:p>
            <w:pPr>
              <w:pStyle w:val="TableParagraph"/>
              <w:spacing w:line="240" w:lineRule="exact" w:before="0"/>
              <w:ind w:right="93"/>
              <w:rPr>
                <w:rFonts w:ascii="Times New Roman"/>
                <w:b/>
                <w:sz w:val="22"/>
              </w:rPr>
            </w:pPr>
            <w:r>
              <w:rPr>
                <w:rFonts w:ascii="Times New Roman"/>
                <w:b/>
                <w:sz w:val="22"/>
              </w:rPr>
              <w:t>xxx</w:t>
            </w:r>
          </w:p>
        </w:tc>
      </w:tr>
      <w:tr>
        <w:trPr>
          <w:trHeight w:val="251" w:hRule="atLeast"/>
        </w:trPr>
        <w:tc>
          <w:tcPr>
            <w:tcW w:w="566" w:type="dxa"/>
          </w:tcPr>
          <w:p>
            <w:pPr>
              <w:pStyle w:val="TableParagraph"/>
              <w:spacing w:line="232" w:lineRule="exact" w:before="0"/>
              <w:ind w:left="110"/>
              <w:jc w:val="left"/>
              <w:rPr>
                <w:rFonts w:ascii="Times New Roman"/>
                <w:b/>
                <w:sz w:val="22"/>
              </w:rPr>
            </w:pPr>
            <w:r>
              <w:rPr>
                <w:rFonts w:ascii="Times New Roman"/>
                <w:b/>
                <w:sz w:val="22"/>
              </w:rPr>
              <w:t>F.</w:t>
            </w:r>
          </w:p>
        </w:tc>
        <w:tc>
          <w:tcPr>
            <w:tcW w:w="4243" w:type="dxa"/>
          </w:tcPr>
          <w:p>
            <w:pPr>
              <w:pStyle w:val="TableParagraph"/>
              <w:spacing w:line="232" w:lineRule="exact" w:before="0"/>
              <w:ind w:left="110"/>
              <w:jc w:val="left"/>
              <w:rPr>
                <w:rFonts w:ascii="Times New Roman" w:hAnsi="Times New Roman"/>
                <w:b/>
                <w:sz w:val="22"/>
              </w:rPr>
            </w:pPr>
            <w:r>
              <w:rPr>
                <w:rFonts w:ascii="Times New Roman" w:hAnsi="Times New Roman"/>
                <w:b/>
                <w:sz w:val="22"/>
              </w:rPr>
              <w:t>VIŠAK/MANJAK PRIHODA (C+E+F):</w:t>
            </w:r>
          </w:p>
        </w:tc>
        <w:tc>
          <w:tcPr>
            <w:tcW w:w="1560" w:type="dxa"/>
          </w:tcPr>
          <w:p>
            <w:pPr>
              <w:pStyle w:val="TableParagraph"/>
              <w:spacing w:line="232" w:lineRule="exact" w:before="0"/>
              <w:ind w:right="95"/>
              <w:rPr>
                <w:rFonts w:ascii="Times New Roman"/>
                <w:b/>
                <w:sz w:val="22"/>
              </w:rPr>
            </w:pPr>
            <w:r>
              <w:rPr>
                <w:rFonts w:ascii="Times New Roman"/>
                <w:b/>
                <w:sz w:val="22"/>
              </w:rPr>
              <w:t>-1.344.968,31</w:t>
            </w:r>
          </w:p>
        </w:tc>
        <w:tc>
          <w:tcPr>
            <w:tcW w:w="1560" w:type="dxa"/>
          </w:tcPr>
          <w:p>
            <w:pPr>
              <w:pStyle w:val="TableParagraph"/>
              <w:spacing w:line="232" w:lineRule="exact" w:before="0"/>
              <w:ind w:right="93"/>
              <w:rPr>
                <w:rFonts w:ascii="Times New Roman"/>
                <w:b/>
                <w:sz w:val="22"/>
              </w:rPr>
            </w:pPr>
            <w:r>
              <w:rPr>
                <w:rFonts w:ascii="Times New Roman"/>
                <w:b/>
                <w:sz w:val="22"/>
              </w:rPr>
              <w:t>0,00</w:t>
            </w:r>
          </w:p>
        </w:tc>
        <w:tc>
          <w:tcPr>
            <w:tcW w:w="1558" w:type="dxa"/>
          </w:tcPr>
          <w:p>
            <w:pPr>
              <w:pStyle w:val="TableParagraph"/>
              <w:spacing w:line="232" w:lineRule="exact" w:before="0"/>
              <w:ind w:right="88"/>
              <w:rPr>
                <w:rFonts w:ascii="Times New Roman"/>
                <w:b/>
                <w:sz w:val="22"/>
              </w:rPr>
            </w:pPr>
            <w:r>
              <w:rPr>
                <w:rFonts w:ascii="Times New Roman"/>
                <w:b/>
                <w:sz w:val="22"/>
              </w:rPr>
              <w:t>-125.971,65</w:t>
            </w:r>
          </w:p>
        </w:tc>
        <w:tc>
          <w:tcPr>
            <w:tcW w:w="852" w:type="dxa"/>
          </w:tcPr>
          <w:p>
            <w:pPr>
              <w:pStyle w:val="TableParagraph"/>
              <w:spacing w:line="232" w:lineRule="exact" w:before="0"/>
              <w:ind w:right="93"/>
              <w:rPr>
                <w:rFonts w:ascii="Times New Roman"/>
                <w:b/>
                <w:sz w:val="22"/>
              </w:rPr>
            </w:pPr>
            <w:r>
              <w:rPr>
                <w:rFonts w:ascii="Times New Roman"/>
                <w:b/>
                <w:sz w:val="22"/>
              </w:rPr>
              <w:t>9,37</w:t>
            </w:r>
          </w:p>
        </w:tc>
        <w:tc>
          <w:tcPr>
            <w:tcW w:w="850" w:type="dxa"/>
          </w:tcPr>
          <w:p>
            <w:pPr>
              <w:pStyle w:val="TableParagraph"/>
              <w:spacing w:line="232" w:lineRule="exact" w:before="0"/>
              <w:ind w:right="93"/>
              <w:rPr>
                <w:rFonts w:ascii="Times New Roman"/>
                <w:b/>
                <w:sz w:val="22"/>
              </w:rPr>
            </w:pPr>
            <w:r>
              <w:rPr>
                <w:rFonts w:ascii="Times New Roman"/>
                <w:b/>
                <w:sz w:val="22"/>
              </w:rPr>
              <w:t>xxx</w:t>
            </w:r>
          </w:p>
        </w:tc>
      </w:tr>
    </w:tbl>
    <w:p>
      <w:pPr>
        <w:pStyle w:val="BodyText"/>
        <w:spacing w:before="1"/>
        <w:rPr>
          <w:sz w:val="15"/>
        </w:rPr>
      </w:pPr>
    </w:p>
    <w:p>
      <w:pPr>
        <w:spacing w:line="240" w:lineRule="auto" w:before="90"/>
        <w:ind w:left="1256" w:right="1395" w:firstLine="540"/>
        <w:jc w:val="both"/>
        <w:rPr>
          <w:rFonts w:ascii="Times New Roman" w:hAnsi="Times New Roman"/>
          <w:sz w:val="24"/>
        </w:rPr>
      </w:pPr>
      <w:r>
        <w:rPr>
          <w:rFonts w:ascii="Times New Roman" w:hAnsi="Times New Roman"/>
          <w:sz w:val="24"/>
        </w:rPr>
        <w:t>U prvoj polovici 2014. godine </w:t>
      </w:r>
      <w:r>
        <w:rPr>
          <w:rFonts w:ascii="Times New Roman" w:hAnsi="Times New Roman"/>
          <w:b/>
          <w:sz w:val="24"/>
        </w:rPr>
        <w:t>ukupni prihodi </w:t>
      </w:r>
      <w:r>
        <w:rPr>
          <w:rFonts w:ascii="Times New Roman" w:hAnsi="Times New Roman"/>
          <w:sz w:val="24"/>
        </w:rPr>
        <w:t>ostvareni su u iznosu od 7.461.994,93 kn, što, u odnosu na godišnji plan za 2014. godinu, predstavlja izvršenje od 46,06%. </w:t>
      </w:r>
      <w:r>
        <w:rPr>
          <w:rFonts w:ascii="Times New Roman" w:hAnsi="Times New Roman"/>
          <w:b/>
          <w:sz w:val="24"/>
        </w:rPr>
        <w:t>U odnosu na isto razdoblje prethodne godine, ukupno ostvareni prihodi bilježe povećanje od 18,49%. </w:t>
      </w:r>
      <w:r>
        <w:rPr>
          <w:rFonts w:ascii="Times New Roman" w:hAnsi="Times New Roman"/>
          <w:sz w:val="24"/>
        </w:rPr>
        <w:t>Ukupni se prihodi sastoje od prihoda poslovanja, ostvarenih u iznosu od 7.434.413,86 kn, i prihoda od prodaje nefinancijske imovine, ostvarenih u iznosu </w:t>
      </w:r>
      <w:r>
        <w:rPr>
          <w:rFonts w:ascii="Times New Roman" w:hAnsi="Times New Roman"/>
          <w:spacing w:val="-6"/>
          <w:sz w:val="24"/>
        </w:rPr>
        <w:t>od </w:t>
      </w:r>
      <w:r>
        <w:rPr>
          <w:rFonts w:ascii="Times New Roman" w:hAnsi="Times New Roman"/>
          <w:sz w:val="24"/>
        </w:rPr>
        <w:t>27.581,07 kn.</w:t>
      </w:r>
    </w:p>
    <w:p>
      <w:pPr>
        <w:spacing w:line="240" w:lineRule="auto" w:before="0"/>
        <w:ind w:left="1256" w:right="1390" w:firstLine="540"/>
        <w:jc w:val="both"/>
        <w:rPr>
          <w:rFonts w:ascii="Times New Roman" w:hAnsi="Times New Roman"/>
          <w:b/>
          <w:sz w:val="24"/>
        </w:rPr>
      </w:pPr>
      <w:r>
        <w:rPr>
          <w:rFonts w:ascii="Times New Roman" w:hAnsi="Times New Roman"/>
          <w:b/>
          <w:sz w:val="24"/>
        </w:rPr>
        <w:t>Ukupni rashodi </w:t>
      </w:r>
      <w:r>
        <w:rPr>
          <w:rFonts w:ascii="Times New Roman" w:hAnsi="Times New Roman"/>
          <w:sz w:val="24"/>
        </w:rPr>
        <w:t>ostvareni su u iznosu od 6.305.627,45 kn, što čini 30,88% godišnjeg plana za 2014. godinu, a sastoje se od rashoda poslovanja, ostvarenih u iznosu od 5.373.775,76 kn i rashoda za nabavu nefinancijske imovine, ostvarenih u iznosu od 931.851,69 kn. </w:t>
      </w:r>
      <w:r>
        <w:rPr>
          <w:rFonts w:ascii="Times New Roman" w:hAnsi="Times New Roman"/>
          <w:b/>
          <w:sz w:val="24"/>
        </w:rPr>
        <w:t>U odnosu na isto razdoblje prethodne godine, ukupno ostvareni rashodi bilježe smanjenje od</w:t>
      </w:r>
      <w:r>
        <w:rPr>
          <w:rFonts w:ascii="Times New Roman" w:hAnsi="Times New Roman"/>
          <w:b/>
          <w:spacing w:val="-3"/>
          <w:sz w:val="24"/>
        </w:rPr>
        <w:t> </w:t>
      </w:r>
      <w:r>
        <w:rPr>
          <w:rFonts w:ascii="Times New Roman" w:hAnsi="Times New Roman"/>
          <w:b/>
          <w:sz w:val="24"/>
        </w:rPr>
        <w:t>3,46%.</w:t>
      </w:r>
    </w:p>
    <w:p>
      <w:pPr>
        <w:spacing w:line="244" w:lineRule="auto" w:before="0"/>
        <w:ind w:left="1256" w:right="1393" w:firstLine="540"/>
        <w:jc w:val="both"/>
        <w:rPr>
          <w:rFonts w:ascii="Times New Roman" w:hAnsi="Times New Roman"/>
          <w:b/>
          <w:sz w:val="24"/>
        </w:rPr>
      </w:pPr>
      <w:r>
        <w:rPr>
          <w:rFonts w:ascii="Times New Roman" w:hAnsi="Times New Roman"/>
          <w:sz w:val="24"/>
        </w:rPr>
        <w:t>Razlika između ostvarenih ukupnih prihoda i ukupnih rashoda, odnosno </w:t>
      </w:r>
      <w:r>
        <w:rPr>
          <w:rFonts w:ascii="Times New Roman" w:hAnsi="Times New Roman"/>
          <w:b/>
          <w:sz w:val="24"/>
        </w:rPr>
        <w:t>višak prihoda Proračuna Grada Ozlja ostvaren u prvoj polovici 2014. godine, iznosi 1.156.367,48 kn.</w:t>
      </w:r>
    </w:p>
    <w:p>
      <w:pPr>
        <w:pStyle w:val="BodyText"/>
        <w:ind w:left="1256" w:right="1394" w:firstLine="540"/>
        <w:jc w:val="both"/>
      </w:pPr>
      <w:r>
        <w:rPr/>
        <w:t>U 2014. godinu prenesen je manjak prihoda iz 2013. godine u iznosu od 1.282.339,13 kn. Izdataka po osnovi kredita nije bilo. Obzirom da je u prvoj polovici godine ostvaren višak prihoda u iznosu od 1.156.367,48 kn, za pokriće u drugoj polovici 2014. godine ostaje manjak prihoda u iznosu od 125.971,65 kn. U odnosu na 30.06.2013. godine, manjak prihoda koji se sa 30.06.2014. godine prenosi za pokriće u drugu polovicu godine, manji je za</w:t>
      </w:r>
      <w:r>
        <w:rPr>
          <w:spacing w:val="-3"/>
        </w:rPr>
        <w:t> </w:t>
      </w:r>
      <w:r>
        <w:rPr/>
        <w:t>90,63%.</w:t>
      </w:r>
    </w:p>
    <w:p>
      <w:pPr>
        <w:pStyle w:val="BodyText"/>
        <w:spacing w:before="1"/>
        <w:rPr>
          <w:sz w:val="23"/>
        </w:rPr>
      </w:pPr>
    </w:p>
    <w:p>
      <w:pPr>
        <w:pStyle w:val="BodyText"/>
        <w:ind w:left="1256" w:right="1480"/>
      </w:pPr>
      <w:r>
        <w:rPr/>
        <w:t>U nastavku slijedi pregled planiranih i ostvarenih prihoda/primitaka i rashoda/izdataka po osnovnim skupinama:</w:t>
      </w:r>
    </w:p>
    <w:p>
      <w:pPr>
        <w:pStyle w:val="BodyText"/>
        <w:spacing w:before="5"/>
      </w:pPr>
    </w:p>
    <w:p>
      <w:pPr>
        <w:pStyle w:val="Heading1"/>
        <w:ind w:firstLine="0"/>
      </w:pPr>
      <w:r>
        <w:rPr/>
        <w:t>PRIHODI I PRIMICI OSTVARENI U PRVOJ POLOVICI 2014. GODINE</w:t>
      </w:r>
    </w:p>
    <w:p>
      <w:pPr>
        <w:pStyle w:val="BodyText"/>
        <w:spacing w:before="6"/>
        <w:rPr>
          <w:b/>
          <w:sz w:val="23"/>
        </w:rPr>
      </w:pPr>
    </w:p>
    <w:p>
      <w:pPr>
        <w:pStyle w:val="BodyText"/>
        <w:spacing w:before="1" w:after="8"/>
        <w:ind w:left="2696" w:right="394" w:hanging="1980"/>
      </w:pPr>
      <w:r>
        <w:rPr/>
        <w:t>Tabela broj 2: Pregled ostvarenih prihoda/primitaka Proračuna Grada Ozlja u odnosu na godišnji plan te ostvarenje u istom razdoblju prethodne godine:</w:t>
      </w: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3828"/>
        <w:gridCol w:w="1558"/>
        <w:gridCol w:w="1560"/>
        <w:gridCol w:w="1534"/>
        <w:gridCol w:w="876"/>
        <w:gridCol w:w="790"/>
        <w:gridCol w:w="771"/>
      </w:tblGrid>
      <w:tr>
        <w:trPr>
          <w:trHeight w:val="460" w:hRule="atLeast"/>
        </w:trPr>
        <w:tc>
          <w:tcPr>
            <w:tcW w:w="569" w:type="dxa"/>
            <w:shd w:val="clear" w:color="auto" w:fill="DBE5F1"/>
          </w:tcPr>
          <w:p>
            <w:pPr>
              <w:pStyle w:val="TableParagraph"/>
              <w:spacing w:line="230" w:lineRule="exact" w:before="0"/>
              <w:ind w:left="184" w:right="86" w:hanging="70"/>
              <w:jc w:val="left"/>
              <w:rPr>
                <w:rFonts w:ascii="Times New Roman"/>
                <w:b/>
                <w:sz w:val="20"/>
              </w:rPr>
            </w:pPr>
            <w:r>
              <w:rPr>
                <w:rFonts w:ascii="Times New Roman"/>
                <w:b/>
                <w:sz w:val="20"/>
              </w:rPr>
              <w:t>red. br</w:t>
            </w:r>
          </w:p>
        </w:tc>
        <w:tc>
          <w:tcPr>
            <w:tcW w:w="3828" w:type="dxa"/>
            <w:shd w:val="clear" w:color="auto" w:fill="DBE5F1"/>
          </w:tcPr>
          <w:p>
            <w:pPr>
              <w:pStyle w:val="TableParagraph"/>
              <w:spacing w:line="228" w:lineRule="exact" w:before="0"/>
              <w:ind w:left="1658" w:right="1652"/>
              <w:jc w:val="center"/>
              <w:rPr>
                <w:rFonts w:ascii="Times New Roman"/>
                <w:b/>
                <w:sz w:val="20"/>
              </w:rPr>
            </w:pPr>
            <w:r>
              <w:rPr>
                <w:rFonts w:ascii="Times New Roman"/>
                <w:b/>
                <w:sz w:val="20"/>
              </w:rPr>
              <w:t>OPIS</w:t>
            </w:r>
          </w:p>
        </w:tc>
        <w:tc>
          <w:tcPr>
            <w:tcW w:w="1558" w:type="dxa"/>
            <w:shd w:val="clear" w:color="auto" w:fill="DBE5F1"/>
          </w:tcPr>
          <w:p>
            <w:pPr>
              <w:pStyle w:val="TableParagraph"/>
              <w:spacing w:line="230" w:lineRule="exact" w:before="0"/>
              <w:ind w:left="119" w:right="106" w:firstLine="266"/>
              <w:jc w:val="left"/>
              <w:rPr>
                <w:rFonts w:ascii="Times New Roman" w:hAnsi="Times New Roman"/>
                <w:b/>
                <w:sz w:val="20"/>
              </w:rPr>
            </w:pPr>
            <w:r>
              <w:rPr>
                <w:rFonts w:ascii="Times New Roman" w:hAnsi="Times New Roman"/>
                <w:b/>
                <w:sz w:val="20"/>
              </w:rPr>
              <w:t>Izvršenje 01.01.-30.06.13.</w:t>
            </w:r>
          </w:p>
        </w:tc>
        <w:tc>
          <w:tcPr>
            <w:tcW w:w="1560" w:type="dxa"/>
            <w:shd w:val="clear" w:color="auto" w:fill="DBE5F1"/>
          </w:tcPr>
          <w:p>
            <w:pPr>
              <w:pStyle w:val="TableParagraph"/>
              <w:spacing w:line="230" w:lineRule="exact" w:before="0"/>
              <w:ind w:left="486" w:hanging="296"/>
              <w:jc w:val="left"/>
              <w:rPr>
                <w:rFonts w:ascii="Times New Roman"/>
                <w:b/>
                <w:sz w:val="20"/>
              </w:rPr>
            </w:pPr>
            <w:r>
              <w:rPr>
                <w:rFonts w:ascii="Times New Roman"/>
                <w:b/>
                <w:sz w:val="20"/>
              </w:rPr>
              <w:t>Plan za 2014. godinu</w:t>
            </w:r>
          </w:p>
        </w:tc>
        <w:tc>
          <w:tcPr>
            <w:tcW w:w="1534" w:type="dxa"/>
            <w:shd w:val="clear" w:color="auto" w:fill="DBE5F1"/>
          </w:tcPr>
          <w:p>
            <w:pPr>
              <w:pStyle w:val="TableParagraph"/>
              <w:spacing w:line="230" w:lineRule="exact" w:before="0"/>
              <w:ind w:left="107" w:right="95" w:firstLine="263"/>
              <w:jc w:val="left"/>
              <w:rPr>
                <w:rFonts w:ascii="Times New Roman" w:hAnsi="Times New Roman"/>
                <w:b/>
                <w:sz w:val="20"/>
              </w:rPr>
            </w:pPr>
            <w:r>
              <w:rPr>
                <w:rFonts w:ascii="Times New Roman" w:hAnsi="Times New Roman"/>
                <w:b/>
                <w:sz w:val="20"/>
              </w:rPr>
              <w:t>Izvršenje 01.01.-30.06.14.</w:t>
            </w:r>
          </w:p>
        </w:tc>
        <w:tc>
          <w:tcPr>
            <w:tcW w:w="876" w:type="dxa"/>
            <w:shd w:val="clear" w:color="auto" w:fill="DBE5F1"/>
          </w:tcPr>
          <w:p>
            <w:pPr>
              <w:pStyle w:val="TableParagraph"/>
              <w:spacing w:line="230" w:lineRule="exact" w:before="0"/>
              <w:ind w:left="308" w:hanging="161"/>
              <w:jc w:val="left"/>
              <w:rPr>
                <w:rFonts w:ascii="Times New Roman"/>
                <w:b/>
                <w:sz w:val="20"/>
              </w:rPr>
            </w:pPr>
            <w:r>
              <w:rPr>
                <w:rFonts w:ascii="Times New Roman"/>
                <w:b/>
                <w:w w:val="95"/>
                <w:sz w:val="20"/>
              </w:rPr>
              <w:t>Indeks </w:t>
            </w:r>
            <w:r>
              <w:rPr>
                <w:rFonts w:ascii="Times New Roman"/>
                <w:b/>
                <w:sz w:val="20"/>
              </w:rPr>
              <w:t>5/3</w:t>
            </w:r>
          </w:p>
        </w:tc>
        <w:tc>
          <w:tcPr>
            <w:tcW w:w="790" w:type="dxa"/>
            <w:shd w:val="clear" w:color="auto" w:fill="DBE5F1"/>
          </w:tcPr>
          <w:p>
            <w:pPr>
              <w:pStyle w:val="TableParagraph"/>
              <w:spacing w:line="230" w:lineRule="exact" w:before="0"/>
              <w:ind w:left="265" w:hanging="161"/>
              <w:jc w:val="left"/>
              <w:rPr>
                <w:rFonts w:ascii="Times New Roman"/>
                <w:b/>
                <w:sz w:val="20"/>
              </w:rPr>
            </w:pPr>
            <w:r>
              <w:rPr>
                <w:rFonts w:ascii="Times New Roman"/>
                <w:b/>
                <w:w w:val="95"/>
                <w:sz w:val="20"/>
              </w:rPr>
              <w:t>Indeks </w:t>
            </w:r>
            <w:r>
              <w:rPr>
                <w:rFonts w:ascii="Times New Roman"/>
                <w:b/>
                <w:sz w:val="20"/>
              </w:rPr>
              <w:t>5/4</w:t>
            </w:r>
          </w:p>
        </w:tc>
        <w:tc>
          <w:tcPr>
            <w:tcW w:w="771" w:type="dxa"/>
            <w:shd w:val="clear" w:color="auto" w:fill="DBE5F1"/>
          </w:tcPr>
          <w:p>
            <w:pPr>
              <w:pStyle w:val="TableParagraph"/>
              <w:spacing w:line="230" w:lineRule="exact" w:before="0"/>
              <w:ind w:left="154" w:hanging="39"/>
              <w:jc w:val="left"/>
              <w:rPr>
                <w:rFonts w:ascii="Times New Roman"/>
                <w:b/>
                <w:sz w:val="20"/>
              </w:rPr>
            </w:pPr>
            <w:r>
              <w:rPr>
                <w:rFonts w:ascii="Times New Roman"/>
                <w:b/>
                <w:w w:val="95"/>
                <w:sz w:val="20"/>
              </w:rPr>
              <w:t>Udio </w:t>
            </w:r>
            <w:r>
              <w:rPr>
                <w:rFonts w:ascii="Times New Roman"/>
                <w:b/>
                <w:sz w:val="20"/>
              </w:rPr>
              <w:t>(%)</w:t>
            </w:r>
          </w:p>
        </w:tc>
      </w:tr>
      <w:tr>
        <w:trPr>
          <w:trHeight w:val="184" w:hRule="atLeast"/>
        </w:trPr>
        <w:tc>
          <w:tcPr>
            <w:tcW w:w="569" w:type="dxa"/>
          </w:tcPr>
          <w:p>
            <w:pPr>
              <w:pStyle w:val="TableParagraph"/>
              <w:spacing w:line="164" w:lineRule="exact" w:before="0"/>
              <w:ind w:left="10"/>
              <w:jc w:val="center"/>
              <w:rPr>
                <w:rFonts w:ascii="Times New Roman"/>
                <w:sz w:val="16"/>
              </w:rPr>
            </w:pPr>
            <w:r>
              <w:rPr>
                <w:rFonts w:ascii="Times New Roman"/>
                <w:w w:val="100"/>
                <w:sz w:val="16"/>
              </w:rPr>
              <w:t>1</w:t>
            </w:r>
          </w:p>
        </w:tc>
        <w:tc>
          <w:tcPr>
            <w:tcW w:w="3828" w:type="dxa"/>
          </w:tcPr>
          <w:p>
            <w:pPr>
              <w:pStyle w:val="TableParagraph"/>
              <w:spacing w:line="164" w:lineRule="exact" w:before="0"/>
              <w:ind w:left="10"/>
              <w:jc w:val="center"/>
              <w:rPr>
                <w:rFonts w:ascii="Times New Roman"/>
                <w:sz w:val="16"/>
              </w:rPr>
            </w:pPr>
            <w:r>
              <w:rPr>
                <w:rFonts w:ascii="Times New Roman"/>
                <w:w w:val="100"/>
                <w:sz w:val="16"/>
              </w:rPr>
              <w:t>2</w:t>
            </w:r>
          </w:p>
        </w:tc>
        <w:tc>
          <w:tcPr>
            <w:tcW w:w="1558" w:type="dxa"/>
          </w:tcPr>
          <w:p>
            <w:pPr>
              <w:pStyle w:val="TableParagraph"/>
              <w:spacing w:line="164" w:lineRule="exact" w:before="0"/>
              <w:ind w:left="10"/>
              <w:jc w:val="center"/>
              <w:rPr>
                <w:rFonts w:ascii="Times New Roman"/>
                <w:sz w:val="16"/>
              </w:rPr>
            </w:pPr>
            <w:r>
              <w:rPr>
                <w:rFonts w:ascii="Times New Roman"/>
                <w:w w:val="100"/>
                <w:sz w:val="16"/>
              </w:rPr>
              <w:t>3</w:t>
            </w:r>
          </w:p>
        </w:tc>
        <w:tc>
          <w:tcPr>
            <w:tcW w:w="1560" w:type="dxa"/>
          </w:tcPr>
          <w:p>
            <w:pPr>
              <w:pStyle w:val="TableParagraph"/>
              <w:spacing w:line="164" w:lineRule="exact" w:before="0"/>
              <w:ind w:left="11"/>
              <w:jc w:val="center"/>
              <w:rPr>
                <w:rFonts w:ascii="Times New Roman"/>
                <w:sz w:val="16"/>
              </w:rPr>
            </w:pPr>
            <w:r>
              <w:rPr>
                <w:rFonts w:ascii="Times New Roman"/>
                <w:w w:val="100"/>
                <w:sz w:val="16"/>
              </w:rPr>
              <w:t>4</w:t>
            </w:r>
          </w:p>
        </w:tc>
        <w:tc>
          <w:tcPr>
            <w:tcW w:w="1534" w:type="dxa"/>
          </w:tcPr>
          <w:p>
            <w:pPr>
              <w:pStyle w:val="TableParagraph"/>
              <w:spacing w:line="164" w:lineRule="exact" w:before="0"/>
              <w:ind w:left="9"/>
              <w:jc w:val="center"/>
              <w:rPr>
                <w:rFonts w:ascii="Times New Roman"/>
                <w:sz w:val="16"/>
              </w:rPr>
            </w:pPr>
            <w:r>
              <w:rPr>
                <w:rFonts w:ascii="Times New Roman"/>
                <w:w w:val="100"/>
                <w:sz w:val="16"/>
              </w:rPr>
              <w:t>5</w:t>
            </w:r>
          </w:p>
        </w:tc>
        <w:tc>
          <w:tcPr>
            <w:tcW w:w="876" w:type="dxa"/>
          </w:tcPr>
          <w:p>
            <w:pPr>
              <w:pStyle w:val="TableParagraph"/>
              <w:spacing w:line="164" w:lineRule="exact" w:before="0"/>
              <w:ind w:right="99"/>
              <w:jc w:val="center"/>
              <w:rPr>
                <w:rFonts w:ascii="Times New Roman"/>
                <w:sz w:val="16"/>
              </w:rPr>
            </w:pPr>
            <w:r>
              <w:rPr>
                <w:rFonts w:ascii="Times New Roman"/>
                <w:w w:val="100"/>
                <w:sz w:val="16"/>
              </w:rPr>
              <w:t>6</w:t>
            </w:r>
          </w:p>
        </w:tc>
        <w:tc>
          <w:tcPr>
            <w:tcW w:w="790" w:type="dxa"/>
          </w:tcPr>
          <w:p>
            <w:pPr>
              <w:pStyle w:val="TableParagraph"/>
              <w:spacing w:line="164" w:lineRule="exact" w:before="0"/>
              <w:ind w:right="100"/>
              <w:jc w:val="center"/>
              <w:rPr>
                <w:rFonts w:ascii="Times New Roman"/>
                <w:sz w:val="16"/>
              </w:rPr>
            </w:pPr>
            <w:r>
              <w:rPr>
                <w:rFonts w:ascii="Times New Roman"/>
                <w:w w:val="100"/>
                <w:sz w:val="16"/>
              </w:rPr>
              <w:t>7</w:t>
            </w:r>
          </w:p>
        </w:tc>
        <w:tc>
          <w:tcPr>
            <w:tcW w:w="771" w:type="dxa"/>
          </w:tcPr>
          <w:p>
            <w:pPr>
              <w:pStyle w:val="TableParagraph"/>
              <w:spacing w:line="164" w:lineRule="exact" w:before="0"/>
              <w:ind w:right="115"/>
              <w:jc w:val="center"/>
              <w:rPr>
                <w:rFonts w:ascii="Times New Roman"/>
                <w:sz w:val="16"/>
              </w:rPr>
            </w:pPr>
            <w:r>
              <w:rPr>
                <w:rFonts w:ascii="Times New Roman"/>
                <w:w w:val="100"/>
                <w:sz w:val="16"/>
              </w:rPr>
              <w:t>8</w:t>
            </w:r>
          </w:p>
        </w:tc>
      </w:tr>
      <w:tr>
        <w:trPr>
          <w:trHeight w:val="251" w:hRule="atLeast"/>
        </w:trPr>
        <w:tc>
          <w:tcPr>
            <w:tcW w:w="569" w:type="dxa"/>
          </w:tcPr>
          <w:p>
            <w:pPr>
              <w:pStyle w:val="TableParagraph"/>
              <w:spacing w:line="232" w:lineRule="exact" w:before="0"/>
              <w:ind w:left="110"/>
              <w:jc w:val="left"/>
              <w:rPr>
                <w:rFonts w:ascii="Times New Roman"/>
                <w:b/>
                <w:sz w:val="22"/>
              </w:rPr>
            </w:pPr>
            <w:r>
              <w:rPr>
                <w:rFonts w:ascii="Times New Roman"/>
                <w:b/>
                <w:w w:val="100"/>
                <w:sz w:val="22"/>
              </w:rPr>
              <w:t>1</w:t>
            </w:r>
          </w:p>
        </w:tc>
        <w:tc>
          <w:tcPr>
            <w:tcW w:w="3828" w:type="dxa"/>
          </w:tcPr>
          <w:p>
            <w:pPr>
              <w:pStyle w:val="TableParagraph"/>
              <w:spacing w:line="228" w:lineRule="exact" w:before="0"/>
              <w:ind w:left="107"/>
              <w:jc w:val="left"/>
              <w:rPr>
                <w:rFonts w:ascii="Times New Roman"/>
                <w:b/>
                <w:sz w:val="20"/>
              </w:rPr>
            </w:pPr>
            <w:r>
              <w:rPr>
                <w:rFonts w:ascii="Times New Roman"/>
                <w:b/>
                <w:sz w:val="20"/>
              </w:rPr>
              <w:t>Prihodi poslovanja</w:t>
            </w:r>
          </w:p>
        </w:tc>
        <w:tc>
          <w:tcPr>
            <w:tcW w:w="1558" w:type="dxa"/>
          </w:tcPr>
          <w:p>
            <w:pPr>
              <w:pStyle w:val="TableParagraph"/>
              <w:spacing w:line="232" w:lineRule="exact" w:before="0"/>
              <w:ind w:right="91"/>
              <w:rPr>
                <w:rFonts w:ascii="Times New Roman"/>
                <w:b/>
                <w:sz w:val="22"/>
              </w:rPr>
            </w:pPr>
            <w:r>
              <w:rPr>
                <w:rFonts w:ascii="Times New Roman"/>
                <w:b/>
                <w:sz w:val="22"/>
              </w:rPr>
              <w:t>6.271.996,51</w:t>
            </w:r>
          </w:p>
        </w:tc>
        <w:tc>
          <w:tcPr>
            <w:tcW w:w="1560" w:type="dxa"/>
          </w:tcPr>
          <w:p>
            <w:pPr>
              <w:pStyle w:val="TableParagraph"/>
              <w:spacing w:line="232" w:lineRule="exact" w:before="0"/>
              <w:ind w:right="93"/>
              <w:rPr>
                <w:rFonts w:ascii="Times New Roman"/>
                <w:b/>
                <w:sz w:val="22"/>
              </w:rPr>
            </w:pPr>
            <w:r>
              <w:rPr>
                <w:rFonts w:ascii="Times New Roman"/>
                <w:b/>
                <w:sz w:val="22"/>
              </w:rPr>
              <w:t>16.112.000,00</w:t>
            </w:r>
          </w:p>
        </w:tc>
        <w:tc>
          <w:tcPr>
            <w:tcW w:w="1534" w:type="dxa"/>
          </w:tcPr>
          <w:p>
            <w:pPr>
              <w:pStyle w:val="TableParagraph"/>
              <w:spacing w:line="232" w:lineRule="exact" w:before="0"/>
              <w:ind w:right="94"/>
              <w:rPr>
                <w:rFonts w:ascii="Times New Roman"/>
                <w:b/>
                <w:sz w:val="22"/>
              </w:rPr>
            </w:pPr>
            <w:r>
              <w:rPr>
                <w:rFonts w:ascii="Times New Roman"/>
                <w:b/>
                <w:sz w:val="22"/>
              </w:rPr>
              <w:t>7.434.413,86</w:t>
            </w:r>
          </w:p>
        </w:tc>
        <w:tc>
          <w:tcPr>
            <w:tcW w:w="876" w:type="dxa"/>
          </w:tcPr>
          <w:p>
            <w:pPr>
              <w:pStyle w:val="TableParagraph"/>
              <w:spacing w:line="232" w:lineRule="exact" w:before="0"/>
              <w:ind w:right="94"/>
              <w:rPr>
                <w:rFonts w:ascii="Times New Roman"/>
                <w:b/>
                <w:sz w:val="22"/>
              </w:rPr>
            </w:pPr>
            <w:r>
              <w:rPr>
                <w:rFonts w:ascii="Times New Roman"/>
                <w:b/>
                <w:sz w:val="22"/>
              </w:rPr>
              <w:t>118,53</w:t>
            </w:r>
          </w:p>
        </w:tc>
        <w:tc>
          <w:tcPr>
            <w:tcW w:w="790" w:type="dxa"/>
          </w:tcPr>
          <w:p>
            <w:pPr>
              <w:pStyle w:val="TableParagraph"/>
              <w:spacing w:line="232" w:lineRule="exact" w:before="0"/>
              <w:ind w:right="95"/>
              <w:rPr>
                <w:rFonts w:ascii="Times New Roman"/>
                <w:b/>
                <w:sz w:val="22"/>
              </w:rPr>
            </w:pPr>
            <w:r>
              <w:rPr>
                <w:rFonts w:ascii="Times New Roman"/>
                <w:b/>
                <w:sz w:val="22"/>
              </w:rPr>
              <w:t>46,14</w:t>
            </w:r>
          </w:p>
        </w:tc>
        <w:tc>
          <w:tcPr>
            <w:tcW w:w="771" w:type="dxa"/>
          </w:tcPr>
          <w:p>
            <w:pPr>
              <w:pStyle w:val="TableParagraph"/>
              <w:spacing w:line="232" w:lineRule="exact" w:before="0"/>
              <w:ind w:right="95"/>
              <w:rPr>
                <w:rFonts w:ascii="Times New Roman"/>
                <w:b/>
                <w:sz w:val="22"/>
              </w:rPr>
            </w:pPr>
            <w:r>
              <w:rPr>
                <w:rFonts w:ascii="Times New Roman"/>
                <w:b/>
                <w:sz w:val="22"/>
              </w:rPr>
              <w:t>99,63</w:t>
            </w:r>
          </w:p>
        </w:tc>
      </w:tr>
      <w:tr>
        <w:trPr>
          <w:trHeight w:val="254" w:hRule="atLeast"/>
        </w:trPr>
        <w:tc>
          <w:tcPr>
            <w:tcW w:w="569" w:type="dxa"/>
          </w:tcPr>
          <w:p>
            <w:pPr>
              <w:pStyle w:val="TableParagraph"/>
              <w:spacing w:before="0"/>
              <w:jc w:val="left"/>
              <w:rPr>
                <w:rFonts w:ascii="Times New Roman"/>
                <w:sz w:val="18"/>
              </w:rPr>
            </w:pPr>
          </w:p>
        </w:tc>
        <w:tc>
          <w:tcPr>
            <w:tcW w:w="3828" w:type="dxa"/>
          </w:tcPr>
          <w:p>
            <w:pPr>
              <w:pStyle w:val="TableParagraph"/>
              <w:spacing w:line="225" w:lineRule="exact" w:before="0"/>
              <w:ind w:left="107"/>
              <w:jc w:val="left"/>
              <w:rPr>
                <w:rFonts w:ascii="Times New Roman"/>
                <w:sz w:val="20"/>
              </w:rPr>
            </w:pPr>
            <w:r>
              <w:rPr>
                <w:rFonts w:ascii="Times New Roman"/>
                <w:sz w:val="20"/>
              </w:rPr>
              <w:t>Prihodi od poreza</w:t>
            </w:r>
          </w:p>
        </w:tc>
        <w:tc>
          <w:tcPr>
            <w:tcW w:w="1558" w:type="dxa"/>
          </w:tcPr>
          <w:p>
            <w:pPr>
              <w:pStyle w:val="TableParagraph"/>
              <w:spacing w:line="234" w:lineRule="exact" w:before="0"/>
              <w:ind w:right="91"/>
              <w:rPr>
                <w:rFonts w:ascii="Times New Roman"/>
                <w:sz w:val="22"/>
              </w:rPr>
            </w:pPr>
            <w:r>
              <w:rPr>
                <w:rFonts w:ascii="Times New Roman"/>
                <w:sz w:val="22"/>
              </w:rPr>
              <w:t>4.391.776,16</w:t>
            </w:r>
          </w:p>
        </w:tc>
        <w:tc>
          <w:tcPr>
            <w:tcW w:w="1560" w:type="dxa"/>
          </w:tcPr>
          <w:p>
            <w:pPr>
              <w:pStyle w:val="TableParagraph"/>
              <w:spacing w:line="234" w:lineRule="exact" w:before="0"/>
              <w:ind w:right="93"/>
              <w:rPr>
                <w:rFonts w:ascii="Times New Roman"/>
                <w:sz w:val="22"/>
              </w:rPr>
            </w:pPr>
            <w:r>
              <w:rPr>
                <w:rFonts w:ascii="Times New Roman"/>
                <w:sz w:val="22"/>
              </w:rPr>
              <w:t>10.411.000,00</w:t>
            </w:r>
          </w:p>
        </w:tc>
        <w:tc>
          <w:tcPr>
            <w:tcW w:w="1534" w:type="dxa"/>
          </w:tcPr>
          <w:p>
            <w:pPr>
              <w:pStyle w:val="TableParagraph"/>
              <w:spacing w:line="234" w:lineRule="exact" w:before="0"/>
              <w:ind w:right="94"/>
              <w:rPr>
                <w:rFonts w:ascii="Times New Roman"/>
                <w:sz w:val="22"/>
              </w:rPr>
            </w:pPr>
            <w:r>
              <w:rPr>
                <w:rFonts w:ascii="Times New Roman"/>
                <w:sz w:val="22"/>
              </w:rPr>
              <w:t>5.181.520,83</w:t>
            </w:r>
          </w:p>
        </w:tc>
        <w:tc>
          <w:tcPr>
            <w:tcW w:w="876" w:type="dxa"/>
          </w:tcPr>
          <w:p>
            <w:pPr>
              <w:pStyle w:val="TableParagraph"/>
              <w:spacing w:line="234" w:lineRule="exact" w:before="0"/>
              <w:ind w:right="94"/>
              <w:rPr>
                <w:rFonts w:ascii="Times New Roman"/>
                <w:sz w:val="22"/>
              </w:rPr>
            </w:pPr>
            <w:r>
              <w:rPr>
                <w:rFonts w:ascii="Times New Roman"/>
                <w:sz w:val="22"/>
              </w:rPr>
              <w:t>117,98</w:t>
            </w:r>
          </w:p>
        </w:tc>
        <w:tc>
          <w:tcPr>
            <w:tcW w:w="790" w:type="dxa"/>
          </w:tcPr>
          <w:p>
            <w:pPr>
              <w:pStyle w:val="TableParagraph"/>
              <w:spacing w:line="234" w:lineRule="exact" w:before="0"/>
              <w:ind w:right="95"/>
              <w:rPr>
                <w:rFonts w:ascii="Times New Roman"/>
                <w:sz w:val="22"/>
              </w:rPr>
            </w:pPr>
            <w:r>
              <w:rPr>
                <w:rFonts w:ascii="Times New Roman"/>
                <w:sz w:val="22"/>
              </w:rPr>
              <w:t>49,77</w:t>
            </w:r>
          </w:p>
        </w:tc>
        <w:tc>
          <w:tcPr>
            <w:tcW w:w="771" w:type="dxa"/>
          </w:tcPr>
          <w:p>
            <w:pPr>
              <w:pStyle w:val="TableParagraph"/>
              <w:spacing w:line="234" w:lineRule="exact" w:before="0"/>
              <w:ind w:right="95"/>
              <w:rPr>
                <w:rFonts w:ascii="Times New Roman"/>
                <w:sz w:val="22"/>
              </w:rPr>
            </w:pPr>
            <w:r>
              <w:rPr>
                <w:rFonts w:ascii="Times New Roman"/>
                <w:sz w:val="22"/>
              </w:rPr>
              <w:t>69,44</w:t>
            </w:r>
          </w:p>
        </w:tc>
      </w:tr>
      <w:tr>
        <w:trPr>
          <w:trHeight w:val="253" w:hRule="atLeast"/>
        </w:trPr>
        <w:tc>
          <w:tcPr>
            <w:tcW w:w="569" w:type="dxa"/>
          </w:tcPr>
          <w:p>
            <w:pPr>
              <w:pStyle w:val="TableParagraph"/>
              <w:spacing w:before="0"/>
              <w:jc w:val="left"/>
              <w:rPr>
                <w:rFonts w:ascii="Times New Roman"/>
                <w:sz w:val="18"/>
              </w:rPr>
            </w:pPr>
          </w:p>
        </w:tc>
        <w:tc>
          <w:tcPr>
            <w:tcW w:w="3828" w:type="dxa"/>
          </w:tcPr>
          <w:p>
            <w:pPr>
              <w:pStyle w:val="TableParagraph"/>
              <w:spacing w:line="223" w:lineRule="exact" w:before="0"/>
              <w:ind w:left="107"/>
              <w:jc w:val="left"/>
              <w:rPr>
                <w:rFonts w:ascii="Times New Roman" w:hAnsi="Times New Roman"/>
                <w:sz w:val="20"/>
              </w:rPr>
            </w:pPr>
            <w:r>
              <w:rPr>
                <w:rFonts w:ascii="Times New Roman" w:hAnsi="Times New Roman"/>
                <w:sz w:val="20"/>
              </w:rPr>
              <w:t>Pomoći</w:t>
            </w:r>
          </w:p>
        </w:tc>
        <w:tc>
          <w:tcPr>
            <w:tcW w:w="1558" w:type="dxa"/>
          </w:tcPr>
          <w:p>
            <w:pPr>
              <w:pStyle w:val="TableParagraph"/>
              <w:spacing w:line="234" w:lineRule="exact" w:before="0"/>
              <w:ind w:right="89"/>
              <w:rPr>
                <w:rFonts w:ascii="Times New Roman"/>
                <w:sz w:val="22"/>
              </w:rPr>
            </w:pPr>
            <w:r>
              <w:rPr>
                <w:rFonts w:ascii="Times New Roman"/>
                <w:sz w:val="22"/>
              </w:rPr>
              <w:t>250.650,17</w:t>
            </w:r>
          </w:p>
        </w:tc>
        <w:tc>
          <w:tcPr>
            <w:tcW w:w="1560" w:type="dxa"/>
          </w:tcPr>
          <w:p>
            <w:pPr>
              <w:pStyle w:val="TableParagraph"/>
              <w:spacing w:line="234" w:lineRule="exact" w:before="0"/>
              <w:ind w:right="91"/>
              <w:rPr>
                <w:rFonts w:ascii="Times New Roman"/>
                <w:sz w:val="22"/>
              </w:rPr>
            </w:pPr>
            <w:r>
              <w:rPr>
                <w:rFonts w:ascii="Times New Roman"/>
                <w:sz w:val="22"/>
              </w:rPr>
              <w:t>1.592.000,00</w:t>
            </w:r>
          </w:p>
        </w:tc>
        <w:tc>
          <w:tcPr>
            <w:tcW w:w="1534" w:type="dxa"/>
          </w:tcPr>
          <w:p>
            <w:pPr>
              <w:pStyle w:val="TableParagraph"/>
              <w:spacing w:line="234" w:lineRule="exact" w:before="0"/>
              <w:ind w:right="92"/>
              <w:rPr>
                <w:rFonts w:ascii="Times New Roman"/>
                <w:sz w:val="22"/>
              </w:rPr>
            </w:pPr>
            <w:r>
              <w:rPr>
                <w:rFonts w:ascii="Times New Roman"/>
                <w:sz w:val="22"/>
              </w:rPr>
              <w:t>183.170,00</w:t>
            </w:r>
          </w:p>
        </w:tc>
        <w:tc>
          <w:tcPr>
            <w:tcW w:w="876" w:type="dxa"/>
          </w:tcPr>
          <w:p>
            <w:pPr>
              <w:pStyle w:val="TableParagraph"/>
              <w:spacing w:line="234" w:lineRule="exact" w:before="0"/>
              <w:ind w:right="94"/>
              <w:rPr>
                <w:rFonts w:ascii="Times New Roman"/>
                <w:sz w:val="22"/>
              </w:rPr>
            </w:pPr>
            <w:r>
              <w:rPr>
                <w:rFonts w:ascii="Times New Roman"/>
                <w:sz w:val="22"/>
              </w:rPr>
              <w:t>73,08</w:t>
            </w:r>
          </w:p>
        </w:tc>
        <w:tc>
          <w:tcPr>
            <w:tcW w:w="790" w:type="dxa"/>
          </w:tcPr>
          <w:p>
            <w:pPr>
              <w:pStyle w:val="TableParagraph"/>
              <w:spacing w:line="234" w:lineRule="exact" w:before="0"/>
              <w:ind w:right="95"/>
              <w:rPr>
                <w:rFonts w:ascii="Times New Roman"/>
                <w:sz w:val="22"/>
              </w:rPr>
            </w:pPr>
            <w:r>
              <w:rPr>
                <w:rFonts w:ascii="Times New Roman"/>
                <w:sz w:val="22"/>
              </w:rPr>
              <w:t>11,51</w:t>
            </w:r>
          </w:p>
        </w:tc>
        <w:tc>
          <w:tcPr>
            <w:tcW w:w="771" w:type="dxa"/>
          </w:tcPr>
          <w:p>
            <w:pPr>
              <w:pStyle w:val="TableParagraph"/>
              <w:spacing w:line="234" w:lineRule="exact" w:before="0"/>
              <w:ind w:right="95"/>
              <w:rPr>
                <w:rFonts w:ascii="Times New Roman"/>
                <w:sz w:val="22"/>
              </w:rPr>
            </w:pPr>
            <w:r>
              <w:rPr>
                <w:rFonts w:ascii="Times New Roman"/>
                <w:sz w:val="22"/>
              </w:rPr>
              <w:t>2,45</w:t>
            </w:r>
          </w:p>
        </w:tc>
      </w:tr>
      <w:tr>
        <w:trPr>
          <w:trHeight w:val="251" w:hRule="atLeast"/>
        </w:trPr>
        <w:tc>
          <w:tcPr>
            <w:tcW w:w="569" w:type="dxa"/>
          </w:tcPr>
          <w:p>
            <w:pPr>
              <w:pStyle w:val="TableParagraph"/>
              <w:spacing w:before="0"/>
              <w:jc w:val="left"/>
              <w:rPr>
                <w:rFonts w:ascii="Times New Roman"/>
                <w:sz w:val="18"/>
              </w:rPr>
            </w:pPr>
          </w:p>
        </w:tc>
        <w:tc>
          <w:tcPr>
            <w:tcW w:w="3828" w:type="dxa"/>
          </w:tcPr>
          <w:p>
            <w:pPr>
              <w:pStyle w:val="TableParagraph"/>
              <w:spacing w:line="223" w:lineRule="exact" w:before="0"/>
              <w:ind w:left="107"/>
              <w:jc w:val="left"/>
              <w:rPr>
                <w:rFonts w:ascii="Times New Roman"/>
                <w:sz w:val="20"/>
              </w:rPr>
            </w:pPr>
            <w:r>
              <w:rPr>
                <w:rFonts w:ascii="Times New Roman"/>
                <w:sz w:val="20"/>
              </w:rPr>
              <w:t>Prihodi od imovine</w:t>
            </w:r>
          </w:p>
        </w:tc>
        <w:tc>
          <w:tcPr>
            <w:tcW w:w="1558" w:type="dxa"/>
          </w:tcPr>
          <w:p>
            <w:pPr>
              <w:pStyle w:val="TableParagraph"/>
              <w:spacing w:line="232" w:lineRule="exact" w:before="0"/>
              <w:ind w:right="91"/>
              <w:rPr>
                <w:rFonts w:ascii="Times New Roman"/>
                <w:sz w:val="22"/>
              </w:rPr>
            </w:pPr>
            <w:r>
              <w:rPr>
                <w:rFonts w:ascii="Times New Roman"/>
                <w:sz w:val="22"/>
              </w:rPr>
              <w:t>124.404,70</w:t>
            </w:r>
          </w:p>
        </w:tc>
        <w:tc>
          <w:tcPr>
            <w:tcW w:w="1560" w:type="dxa"/>
          </w:tcPr>
          <w:p>
            <w:pPr>
              <w:pStyle w:val="TableParagraph"/>
              <w:spacing w:line="232" w:lineRule="exact" w:before="0"/>
              <w:ind w:right="91"/>
              <w:rPr>
                <w:rFonts w:ascii="Times New Roman"/>
                <w:sz w:val="22"/>
              </w:rPr>
            </w:pPr>
            <w:r>
              <w:rPr>
                <w:rFonts w:ascii="Times New Roman"/>
                <w:sz w:val="22"/>
              </w:rPr>
              <w:t>350.000,00</w:t>
            </w:r>
          </w:p>
        </w:tc>
        <w:tc>
          <w:tcPr>
            <w:tcW w:w="1534" w:type="dxa"/>
          </w:tcPr>
          <w:p>
            <w:pPr>
              <w:pStyle w:val="TableParagraph"/>
              <w:spacing w:line="232" w:lineRule="exact" w:before="0"/>
              <w:ind w:right="94"/>
              <w:rPr>
                <w:rFonts w:ascii="Times New Roman"/>
                <w:sz w:val="22"/>
              </w:rPr>
            </w:pPr>
            <w:r>
              <w:rPr>
                <w:rFonts w:ascii="Times New Roman"/>
                <w:sz w:val="22"/>
              </w:rPr>
              <w:t>287.228,30</w:t>
            </w:r>
          </w:p>
        </w:tc>
        <w:tc>
          <w:tcPr>
            <w:tcW w:w="876" w:type="dxa"/>
          </w:tcPr>
          <w:p>
            <w:pPr>
              <w:pStyle w:val="TableParagraph"/>
              <w:spacing w:line="232" w:lineRule="exact" w:before="0"/>
              <w:ind w:right="94"/>
              <w:rPr>
                <w:rFonts w:ascii="Times New Roman"/>
                <w:sz w:val="22"/>
              </w:rPr>
            </w:pPr>
            <w:r>
              <w:rPr>
                <w:rFonts w:ascii="Times New Roman"/>
                <w:sz w:val="22"/>
              </w:rPr>
              <w:t>230,88</w:t>
            </w:r>
          </w:p>
        </w:tc>
        <w:tc>
          <w:tcPr>
            <w:tcW w:w="790" w:type="dxa"/>
          </w:tcPr>
          <w:p>
            <w:pPr>
              <w:pStyle w:val="TableParagraph"/>
              <w:spacing w:line="232" w:lineRule="exact" w:before="0"/>
              <w:ind w:right="95"/>
              <w:rPr>
                <w:rFonts w:ascii="Times New Roman"/>
                <w:sz w:val="22"/>
              </w:rPr>
            </w:pPr>
            <w:r>
              <w:rPr>
                <w:rFonts w:ascii="Times New Roman"/>
                <w:sz w:val="22"/>
              </w:rPr>
              <w:t>82,07</w:t>
            </w:r>
          </w:p>
        </w:tc>
        <w:tc>
          <w:tcPr>
            <w:tcW w:w="771" w:type="dxa"/>
          </w:tcPr>
          <w:p>
            <w:pPr>
              <w:pStyle w:val="TableParagraph"/>
              <w:spacing w:line="232" w:lineRule="exact" w:before="0"/>
              <w:ind w:right="95"/>
              <w:rPr>
                <w:rFonts w:ascii="Times New Roman"/>
                <w:sz w:val="22"/>
              </w:rPr>
            </w:pPr>
            <w:r>
              <w:rPr>
                <w:rFonts w:ascii="Times New Roman"/>
                <w:sz w:val="22"/>
              </w:rPr>
              <w:t>3,85</w:t>
            </w:r>
          </w:p>
        </w:tc>
      </w:tr>
      <w:tr>
        <w:trPr>
          <w:trHeight w:val="506" w:hRule="atLeast"/>
        </w:trPr>
        <w:tc>
          <w:tcPr>
            <w:tcW w:w="569" w:type="dxa"/>
          </w:tcPr>
          <w:p>
            <w:pPr>
              <w:pStyle w:val="TableParagraph"/>
              <w:spacing w:before="0"/>
              <w:jc w:val="left"/>
              <w:rPr>
                <w:rFonts w:ascii="Times New Roman"/>
                <w:sz w:val="22"/>
              </w:rPr>
            </w:pPr>
          </w:p>
        </w:tc>
        <w:tc>
          <w:tcPr>
            <w:tcW w:w="3828" w:type="dxa"/>
          </w:tcPr>
          <w:p>
            <w:pPr>
              <w:pStyle w:val="TableParagraph"/>
              <w:spacing w:before="0"/>
              <w:ind w:left="107" w:right="724"/>
              <w:jc w:val="left"/>
              <w:rPr>
                <w:rFonts w:ascii="Times New Roman"/>
                <w:sz w:val="20"/>
              </w:rPr>
            </w:pPr>
            <w:r>
              <w:rPr>
                <w:rFonts w:ascii="Times New Roman"/>
                <w:sz w:val="20"/>
              </w:rPr>
              <w:t>Prihodi od adm.pristojbi, pristojbi po posebnim propisima i naknada</w:t>
            </w:r>
          </w:p>
        </w:tc>
        <w:tc>
          <w:tcPr>
            <w:tcW w:w="1558" w:type="dxa"/>
          </w:tcPr>
          <w:p>
            <w:pPr>
              <w:pStyle w:val="TableParagraph"/>
              <w:spacing w:before="6"/>
              <w:jc w:val="left"/>
              <w:rPr>
                <w:rFonts w:ascii="Times New Roman"/>
                <w:sz w:val="21"/>
              </w:rPr>
            </w:pPr>
          </w:p>
          <w:p>
            <w:pPr>
              <w:pStyle w:val="TableParagraph"/>
              <w:spacing w:line="238" w:lineRule="exact" w:before="0"/>
              <w:ind w:right="89"/>
              <w:rPr>
                <w:rFonts w:ascii="Times New Roman"/>
                <w:sz w:val="22"/>
              </w:rPr>
            </w:pPr>
            <w:r>
              <w:rPr>
                <w:rFonts w:ascii="Times New Roman"/>
                <w:sz w:val="22"/>
              </w:rPr>
              <w:t>967.430,48</w:t>
            </w:r>
          </w:p>
        </w:tc>
        <w:tc>
          <w:tcPr>
            <w:tcW w:w="1560" w:type="dxa"/>
          </w:tcPr>
          <w:p>
            <w:pPr>
              <w:pStyle w:val="TableParagraph"/>
              <w:spacing w:before="6"/>
              <w:jc w:val="left"/>
              <w:rPr>
                <w:rFonts w:ascii="Times New Roman"/>
                <w:sz w:val="21"/>
              </w:rPr>
            </w:pPr>
          </w:p>
          <w:p>
            <w:pPr>
              <w:pStyle w:val="TableParagraph"/>
              <w:spacing w:line="238" w:lineRule="exact" w:before="0"/>
              <w:ind w:right="91"/>
              <w:rPr>
                <w:rFonts w:ascii="Times New Roman"/>
                <w:sz w:val="22"/>
              </w:rPr>
            </w:pPr>
            <w:r>
              <w:rPr>
                <w:rFonts w:ascii="Times New Roman"/>
                <w:sz w:val="22"/>
              </w:rPr>
              <w:t>2.625.000,00</w:t>
            </w:r>
          </w:p>
        </w:tc>
        <w:tc>
          <w:tcPr>
            <w:tcW w:w="1534" w:type="dxa"/>
          </w:tcPr>
          <w:p>
            <w:pPr>
              <w:pStyle w:val="TableParagraph"/>
              <w:spacing w:before="6"/>
              <w:jc w:val="left"/>
              <w:rPr>
                <w:rFonts w:ascii="Times New Roman"/>
                <w:sz w:val="21"/>
              </w:rPr>
            </w:pPr>
          </w:p>
          <w:p>
            <w:pPr>
              <w:pStyle w:val="TableParagraph"/>
              <w:spacing w:line="238" w:lineRule="exact" w:before="0"/>
              <w:ind w:right="92"/>
              <w:rPr>
                <w:rFonts w:ascii="Times New Roman"/>
                <w:sz w:val="22"/>
              </w:rPr>
            </w:pPr>
            <w:r>
              <w:rPr>
                <w:rFonts w:ascii="Times New Roman"/>
                <w:sz w:val="22"/>
              </w:rPr>
              <w:t>1.197.785,73</w:t>
            </w:r>
          </w:p>
        </w:tc>
        <w:tc>
          <w:tcPr>
            <w:tcW w:w="876" w:type="dxa"/>
          </w:tcPr>
          <w:p>
            <w:pPr>
              <w:pStyle w:val="TableParagraph"/>
              <w:spacing w:before="6"/>
              <w:jc w:val="left"/>
              <w:rPr>
                <w:rFonts w:ascii="Times New Roman"/>
                <w:sz w:val="21"/>
              </w:rPr>
            </w:pPr>
          </w:p>
          <w:p>
            <w:pPr>
              <w:pStyle w:val="TableParagraph"/>
              <w:spacing w:line="238" w:lineRule="exact" w:before="0"/>
              <w:ind w:right="94"/>
              <w:rPr>
                <w:rFonts w:ascii="Times New Roman"/>
                <w:sz w:val="22"/>
              </w:rPr>
            </w:pPr>
            <w:r>
              <w:rPr>
                <w:rFonts w:ascii="Times New Roman"/>
                <w:sz w:val="22"/>
              </w:rPr>
              <w:t>123,81</w:t>
            </w:r>
          </w:p>
        </w:tc>
        <w:tc>
          <w:tcPr>
            <w:tcW w:w="790" w:type="dxa"/>
          </w:tcPr>
          <w:p>
            <w:pPr>
              <w:pStyle w:val="TableParagraph"/>
              <w:spacing w:before="6"/>
              <w:jc w:val="left"/>
              <w:rPr>
                <w:rFonts w:ascii="Times New Roman"/>
                <w:sz w:val="21"/>
              </w:rPr>
            </w:pPr>
          </w:p>
          <w:p>
            <w:pPr>
              <w:pStyle w:val="TableParagraph"/>
              <w:spacing w:line="238" w:lineRule="exact" w:before="0"/>
              <w:ind w:right="95"/>
              <w:rPr>
                <w:rFonts w:ascii="Times New Roman"/>
                <w:sz w:val="22"/>
              </w:rPr>
            </w:pPr>
            <w:r>
              <w:rPr>
                <w:rFonts w:ascii="Times New Roman"/>
                <w:sz w:val="22"/>
              </w:rPr>
              <w:t>45,63</w:t>
            </w:r>
          </w:p>
        </w:tc>
        <w:tc>
          <w:tcPr>
            <w:tcW w:w="771" w:type="dxa"/>
          </w:tcPr>
          <w:p>
            <w:pPr>
              <w:pStyle w:val="TableParagraph"/>
              <w:spacing w:before="6"/>
              <w:jc w:val="left"/>
              <w:rPr>
                <w:rFonts w:ascii="Times New Roman"/>
                <w:sz w:val="21"/>
              </w:rPr>
            </w:pPr>
          </w:p>
          <w:p>
            <w:pPr>
              <w:pStyle w:val="TableParagraph"/>
              <w:spacing w:line="238" w:lineRule="exact" w:before="0"/>
              <w:ind w:right="95"/>
              <w:rPr>
                <w:rFonts w:ascii="Times New Roman"/>
                <w:sz w:val="22"/>
              </w:rPr>
            </w:pPr>
            <w:r>
              <w:rPr>
                <w:rFonts w:ascii="Times New Roman"/>
                <w:sz w:val="22"/>
              </w:rPr>
              <w:t>16,05</w:t>
            </w:r>
          </w:p>
        </w:tc>
      </w:tr>
      <w:tr>
        <w:trPr>
          <w:trHeight w:val="506" w:hRule="atLeast"/>
        </w:trPr>
        <w:tc>
          <w:tcPr>
            <w:tcW w:w="569" w:type="dxa"/>
          </w:tcPr>
          <w:p>
            <w:pPr>
              <w:pStyle w:val="TableParagraph"/>
              <w:spacing w:before="0"/>
              <w:jc w:val="left"/>
              <w:rPr>
                <w:rFonts w:ascii="Times New Roman"/>
                <w:sz w:val="22"/>
              </w:rPr>
            </w:pPr>
          </w:p>
        </w:tc>
        <w:tc>
          <w:tcPr>
            <w:tcW w:w="3828" w:type="dxa"/>
          </w:tcPr>
          <w:p>
            <w:pPr>
              <w:pStyle w:val="TableParagraph"/>
              <w:spacing w:before="0"/>
              <w:ind w:left="107" w:right="647"/>
              <w:jc w:val="left"/>
              <w:rPr>
                <w:rFonts w:ascii="Times New Roman" w:hAnsi="Times New Roman"/>
                <w:sz w:val="20"/>
              </w:rPr>
            </w:pPr>
            <w:r>
              <w:rPr>
                <w:rFonts w:ascii="Times New Roman" w:hAnsi="Times New Roman"/>
                <w:sz w:val="20"/>
              </w:rPr>
              <w:t>Prihodi od prodaje proizvoda i roba te pruženih usluga i prihodi od donacija</w:t>
            </w:r>
          </w:p>
        </w:tc>
        <w:tc>
          <w:tcPr>
            <w:tcW w:w="1558" w:type="dxa"/>
          </w:tcPr>
          <w:p>
            <w:pPr>
              <w:pStyle w:val="TableParagraph"/>
              <w:spacing w:before="6"/>
              <w:jc w:val="left"/>
              <w:rPr>
                <w:rFonts w:ascii="Times New Roman"/>
                <w:sz w:val="21"/>
              </w:rPr>
            </w:pPr>
          </w:p>
          <w:p>
            <w:pPr>
              <w:pStyle w:val="TableParagraph"/>
              <w:spacing w:line="238" w:lineRule="exact" w:before="0"/>
              <w:ind w:right="89"/>
              <w:rPr>
                <w:rFonts w:ascii="Times New Roman"/>
                <w:sz w:val="22"/>
              </w:rPr>
            </w:pPr>
            <w:r>
              <w:rPr>
                <w:rFonts w:ascii="Times New Roman"/>
                <w:sz w:val="22"/>
              </w:rPr>
              <w:t>537.735,00</w:t>
            </w:r>
          </w:p>
        </w:tc>
        <w:tc>
          <w:tcPr>
            <w:tcW w:w="1560" w:type="dxa"/>
          </w:tcPr>
          <w:p>
            <w:pPr>
              <w:pStyle w:val="TableParagraph"/>
              <w:spacing w:before="6"/>
              <w:jc w:val="left"/>
              <w:rPr>
                <w:rFonts w:ascii="Times New Roman"/>
                <w:sz w:val="21"/>
              </w:rPr>
            </w:pPr>
          </w:p>
          <w:p>
            <w:pPr>
              <w:pStyle w:val="TableParagraph"/>
              <w:spacing w:line="238" w:lineRule="exact" w:before="0"/>
              <w:ind w:right="89"/>
              <w:rPr>
                <w:rFonts w:ascii="Times New Roman"/>
                <w:sz w:val="22"/>
              </w:rPr>
            </w:pPr>
            <w:r>
              <w:rPr>
                <w:rFonts w:ascii="Times New Roman"/>
                <w:sz w:val="22"/>
              </w:rPr>
              <w:t>1.133.000,00</w:t>
            </w:r>
          </w:p>
        </w:tc>
        <w:tc>
          <w:tcPr>
            <w:tcW w:w="1534" w:type="dxa"/>
          </w:tcPr>
          <w:p>
            <w:pPr>
              <w:pStyle w:val="TableParagraph"/>
              <w:spacing w:before="6"/>
              <w:jc w:val="left"/>
              <w:rPr>
                <w:rFonts w:ascii="Times New Roman"/>
                <w:sz w:val="21"/>
              </w:rPr>
            </w:pPr>
          </w:p>
          <w:p>
            <w:pPr>
              <w:pStyle w:val="TableParagraph"/>
              <w:spacing w:line="238" w:lineRule="exact" w:before="0"/>
              <w:ind w:right="92"/>
              <w:rPr>
                <w:rFonts w:ascii="Times New Roman"/>
                <w:sz w:val="22"/>
              </w:rPr>
            </w:pPr>
            <w:r>
              <w:rPr>
                <w:rFonts w:ascii="Times New Roman"/>
                <w:sz w:val="22"/>
              </w:rPr>
              <w:t>584.509,00</w:t>
            </w:r>
          </w:p>
        </w:tc>
        <w:tc>
          <w:tcPr>
            <w:tcW w:w="876" w:type="dxa"/>
          </w:tcPr>
          <w:p>
            <w:pPr>
              <w:pStyle w:val="TableParagraph"/>
              <w:spacing w:before="6"/>
              <w:jc w:val="left"/>
              <w:rPr>
                <w:rFonts w:ascii="Times New Roman"/>
                <w:sz w:val="21"/>
              </w:rPr>
            </w:pPr>
          </w:p>
          <w:p>
            <w:pPr>
              <w:pStyle w:val="TableParagraph"/>
              <w:spacing w:line="238" w:lineRule="exact" w:before="0"/>
              <w:ind w:right="94"/>
              <w:rPr>
                <w:rFonts w:ascii="Times New Roman"/>
                <w:sz w:val="22"/>
              </w:rPr>
            </w:pPr>
            <w:r>
              <w:rPr>
                <w:rFonts w:ascii="Times New Roman"/>
                <w:sz w:val="22"/>
              </w:rPr>
              <w:t>108,70</w:t>
            </w:r>
          </w:p>
        </w:tc>
        <w:tc>
          <w:tcPr>
            <w:tcW w:w="790" w:type="dxa"/>
          </w:tcPr>
          <w:p>
            <w:pPr>
              <w:pStyle w:val="TableParagraph"/>
              <w:spacing w:before="6"/>
              <w:jc w:val="left"/>
              <w:rPr>
                <w:rFonts w:ascii="Times New Roman"/>
                <w:sz w:val="21"/>
              </w:rPr>
            </w:pPr>
          </w:p>
          <w:p>
            <w:pPr>
              <w:pStyle w:val="TableParagraph"/>
              <w:spacing w:line="238" w:lineRule="exact" w:before="0"/>
              <w:ind w:right="95"/>
              <w:rPr>
                <w:rFonts w:ascii="Times New Roman"/>
                <w:sz w:val="22"/>
              </w:rPr>
            </w:pPr>
            <w:r>
              <w:rPr>
                <w:rFonts w:ascii="Times New Roman"/>
                <w:sz w:val="22"/>
              </w:rPr>
              <w:t>51,59</w:t>
            </w:r>
          </w:p>
        </w:tc>
        <w:tc>
          <w:tcPr>
            <w:tcW w:w="771" w:type="dxa"/>
          </w:tcPr>
          <w:p>
            <w:pPr>
              <w:pStyle w:val="TableParagraph"/>
              <w:spacing w:before="6"/>
              <w:jc w:val="left"/>
              <w:rPr>
                <w:rFonts w:ascii="Times New Roman"/>
                <w:sz w:val="21"/>
              </w:rPr>
            </w:pPr>
          </w:p>
          <w:p>
            <w:pPr>
              <w:pStyle w:val="TableParagraph"/>
              <w:spacing w:line="238" w:lineRule="exact" w:before="0"/>
              <w:ind w:right="95"/>
              <w:rPr>
                <w:rFonts w:ascii="Times New Roman"/>
                <w:sz w:val="22"/>
              </w:rPr>
            </w:pPr>
            <w:r>
              <w:rPr>
                <w:rFonts w:ascii="Times New Roman"/>
                <w:sz w:val="22"/>
              </w:rPr>
              <w:t>7,83</w:t>
            </w:r>
          </w:p>
        </w:tc>
      </w:tr>
      <w:tr>
        <w:trPr>
          <w:trHeight w:val="253" w:hRule="atLeast"/>
        </w:trPr>
        <w:tc>
          <w:tcPr>
            <w:tcW w:w="569" w:type="dxa"/>
          </w:tcPr>
          <w:p>
            <w:pPr>
              <w:pStyle w:val="TableParagraph"/>
              <w:spacing w:before="0"/>
              <w:jc w:val="left"/>
              <w:rPr>
                <w:rFonts w:ascii="Times New Roman"/>
                <w:sz w:val="18"/>
              </w:rPr>
            </w:pPr>
          </w:p>
        </w:tc>
        <w:tc>
          <w:tcPr>
            <w:tcW w:w="3828" w:type="dxa"/>
          </w:tcPr>
          <w:p>
            <w:pPr>
              <w:pStyle w:val="TableParagraph"/>
              <w:spacing w:line="223" w:lineRule="exact" w:before="0"/>
              <w:ind w:left="107"/>
              <w:jc w:val="left"/>
              <w:rPr>
                <w:rFonts w:ascii="Times New Roman"/>
                <w:sz w:val="20"/>
              </w:rPr>
            </w:pPr>
            <w:r>
              <w:rPr>
                <w:rFonts w:ascii="Times New Roman"/>
                <w:sz w:val="20"/>
              </w:rPr>
              <w:t>Kazne, upravne mjere i ostali prihodi</w:t>
            </w:r>
          </w:p>
        </w:tc>
        <w:tc>
          <w:tcPr>
            <w:tcW w:w="1558" w:type="dxa"/>
          </w:tcPr>
          <w:p>
            <w:pPr>
              <w:pStyle w:val="TableParagraph"/>
              <w:spacing w:line="234" w:lineRule="exact" w:before="0"/>
              <w:ind w:right="91"/>
              <w:rPr>
                <w:rFonts w:ascii="Times New Roman"/>
                <w:sz w:val="22"/>
              </w:rPr>
            </w:pPr>
            <w:r>
              <w:rPr>
                <w:rFonts w:ascii="Times New Roman"/>
                <w:sz w:val="22"/>
              </w:rPr>
              <w:t>0,00</w:t>
            </w:r>
          </w:p>
        </w:tc>
        <w:tc>
          <w:tcPr>
            <w:tcW w:w="1560" w:type="dxa"/>
          </w:tcPr>
          <w:p>
            <w:pPr>
              <w:pStyle w:val="TableParagraph"/>
              <w:spacing w:line="234" w:lineRule="exact" w:before="0"/>
              <w:ind w:right="91"/>
              <w:rPr>
                <w:rFonts w:ascii="Times New Roman"/>
                <w:sz w:val="22"/>
              </w:rPr>
            </w:pPr>
            <w:r>
              <w:rPr>
                <w:rFonts w:ascii="Times New Roman"/>
                <w:sz w:val="22"/>
              </w:rPr>
              <w:t>1.000,00</w:t>
            </w:r>
          </w:p>
        </w:tc>
        <w:tc>
          <w:tcPr>
            <w:tcW w:w="1534" w:type="dxa"/>
          </w:tcPr>
          <w:p>
            <w:pPr>
              <w:pStyle w:val="TableParagraph"/>
              <w:spacing w:line="234" w:lineRule="exact" w:before="0"/>
              <w:ind w:right="94"/>
              <w:rPr>
                <w:rFonts w:ascii="Times New Roman"/>
                <w:sz w:val="22"/>
              </w:rPr>
            </w:pPr>
            <w:r>
              <w:rPr>
                <w:rFonts w:ascii="Times New Roman"/>
                <w:sz w:val="22"/>
              </w:rPr>
              <w:t>200,00</w:t>
            </w:r>
          </w:p>
        </w:tc>
        <w:tc>
          <w:tcPr>
            <w:tcW w:w="876" w:type="dxa"/>
          </w:tcPr>
          <w:p>
            <w:pPr>
              <w:pStyle w:val="TableParagraph"/>
              <w:spacing w:line="234" w:lineRule="exact" w:before="0"/>
              <w:ind w:right="97"/>
              <w:rPr>
                <w:rFonts w:ascii="Times New Roman"/>
                <w:sz w:val="22"/>
              </w:rPr>
            </w:pPr>
            <w:r>
              <w:rPr>
                <w:rFonts w:ascii="Times New Roman"/>
                <w:sz w:val="22"/>
              </w:rPr>
              <w:t>xxx</w:t>
            </w:r>
          </w:p>
        </w:tc>
        <w:tc>
          <w:tcPr>
            <w:tcW w:w="790" w:type="dxa"/>
          </w:tcPr>
          <w:p>
            <w:pPr>
              <w:pStyle w:val="TableParagraph"/>
              <w:spacing w:line="234" w:lineRule="exact" w:before="0"/>
              <w:ind w:right="95"/>
              <w:rPr>
                <w:rFonts w:ascii="Times New Roman"/>
                <w:sz w:val="22"/>
              </w:rPr>
            </w:pPr>
            <w:r>
              <w:rPr>
                <w:rFonts w:ascii="Times New Roman"/>
                <w:sz w:val="22"/>
              </w:rPr>
              <w:t>20,00</w:t>
            </w:r>
          </w:p>
        </w:tc>
        <w:tc>
          <w:tcPr>
            <w:tcW w:w="771" w:type="dxa"/>
          </w:tcPr>
          <w:p>
            <w:pPr>
              <w:pStyle w:val="TableParagraph"/>
              <w:spacing w:line="234" w:lineRule="exact" w:before="0"/>
              <w:ind w:right="95"/>
              <w:rPr>
                <w:rFonts w:ascii="Times New Roman"/>
                <w:sz w:val="22"/>
              </w:rPr>
            </w:pPr>
            <w:r>
              <w:rPr>
                <w:rFonts w:ascii="Times New Roman"/>
                <w:sz w:val="22"/>
              </w:rPr>
              <w:t>0,00</w:t>
            </w:r>
          </w:p>
        </w:tc>
      </w:tr>
      <w:tr>
        <w:trPr>
          <w:trHeight w:val="251" w:hRule="atLeast"/>
        </w:trPr>
        <w:tc>
          <w:tcPr>
            <w:tcW w:w="569" w:type="dxa"/>
          </w:tcPr>
          <w:p>
            <w:pPr>
              <w:pStyle w:val="TableParagraph"/>
              <w:spacing w:line="232" w:lineRule="exact" w:before="0"/>
              <w:ind w:left="110"/>
              <w:jc w:val="left"/>
              <w:rPr>
                <w:rFonts w:ascii="Times New Roman"/>
                <w:b/>
                <w:sz w:val="22"/>
              </w:rPr>
            </w:pPr>
            <w:r>
              <w:rPr>
                <w:rFonts w:ascii="Times New Roman"/>
                <w:b/>
                <w:sz w:val="22"/>
              </w:rPr>
              <w:t>2.</w:t>
            </w:r>
          </w:p>
        </w:tc>
        <w:tc>
          <w:tcPr>
            <w:tcW w:w="3828" w:type="dxa"/>
          </w:tcPr>
          <w:p>
            <w:pPr>
              <w:pStyle w:val="TableParagraph"/>
              <w:spacing w:line="228" w:lineRule="exact" w:before="0"/>
              <w:ind w:left="107"/>
              <w:jc w:val="left"/>
              <w:rPr>
                <w:rFonts w:ascii="Times New Roman"/>
                <w:b/>
                <w:sz w:val="20"/>
              </w:rPr>
            </w:pPr>
            <w:r>
              <w:rPr>
                <w:rFonts w:ascii="Times New Roman"/>
                <w:b/>
                <w:sz w:val="20"/>
              </w:rPr>
              <w:t>Prihodi od prodaje nefin. imovine</w:t>
            </w:r>
          </w:p>
        </w:tc>
        <w:tc>
          <w:tcPr>
            <w:tcW w:w="1558" w:type="dxa"/>
          </w:tcPr>
          <w:p>
            <w:pPr>
              <w:pStyle w:val="TableParagraph"/>
              <w:spacing w:line="232" w:lineRule="exact" w:before="0"/>
              <w:ind w:right="89"/>
              <w:rPr>
                <w:rFonts w:ascii="Times New Roman"/>
                <w:b/>
                <w:sz w:val="22"/>
              </w:rPr>
            </w:pPr>
            <w:r>
              <w:rPr>
                <w:rFonts w:ascii="Times New Roman"/>
                <w:b/>
                <w:sz w:val="22"/>
              </w:rPr>
              <w:t>25.505,71</w:t>
            </w:r>
          </w:p>
        </w:tc>
        <w:tc>
          <w:tcPr>
            <w:tcW w:w="1560" w:type="dxa"/>
          </w:tcPr>
          <w:p>
            <w:pPr>
              <w:pStyle w:val="TableParagraph"/>
              <w:spacing w:line="232" w:lineRule="exact" w:before="0"/>
              <w:ind w:right="93"/>
              <w:rPr>
                <w:rFonts w:ascii="Times New Roman"/>
                <w:b/>
                <w:sz w:val="22"/>
              </w:rPr>
            </w:pPr>
            <w:r>
              <w:rPr>
                <w:rFonts w:ascii="Times New Roman"/>
                <w:b/>
                <w:sz w:val="22"/>
              </w:rPr>
              <w:t>89.000,00</w:t>
            </w:r>
          </w:p>
        </w:tc>
        <w:tc>
          <w:tcPr>
            <w:tcW w:w="1534" w:type="dxa"/>
          </w:tcPr>
          <w:p>
            <w:pPr>
              <w:pStyle w:val="TableParagraph"/>
              <w:spacing w:line="232" w:lineRule="exact" w:before="0"/>
              <w:ind w:right="92"/>
              <w:rPr>
                <w:rFonts w:ascii="Times New Roman"/>
                <w:b/>
                <w:sz w:val="22"/>
              </w:rPr>
            </w:pPr>
            <w:r>
              <w:rPr>
                <w:rFonts w:ascii="Times New Roman"/>
                <w:b/>
                <w:sz w:val="22"/>
              </w:rPr>
              <w:t>27.581,07</w:t>
            </w:r>
          </w:p>
        </w:tc>
        <w:tc>
          <w:tcPr>
            <w:tcW w:w="876" w:type="dxa"/>
          </w:tcPr>
          <w:p>
            <w:pPr>
              <w:pStyle w:val="TableParagraph"/>
              <w:spacing w:line="232" w:lineRule="exact" w:before="0"/>
              <w:ind w:right="94"/>
              <w:rPr>
                <w:rFonts w:ascii="Times New Roman"/>
                <w:b/>
                <w:sz w:val="22"/>
              </w:rPr>
            </w:pPr>
            <w:r>
              <w:rPr>
                <w:rFonts w:ascii="Times New Roman"/>
                <w:b/>
                <w:sz w:val="22"/>
              </w:rPr>
              <w:t>108,14</w:t>
            </w:r>
          </w:p>
        </w:tc>
        <w:tc>
          <w:tcPr>
            <w:tcW w:w="790" w:type="dxa"/>
          </w:tcPr>
          <w:p>
            <w:pPr>
              <w:pStyle w:val="TableParagraph"/>
              <w:spacing w:line="232" w:lineRule="exact" w:before="0"/>
              <w:ind w:right="95"/>
              <w:rPr>
                <w:rFonts w:ascii="Times New Roman"/>
                <w:b/>
                <w:sz w:val="22"/>
              </w:rPr>
            </w:pPr>
            <w:r>
              <w:rPr>
                <w:rFonts w:ascii="Times New Roman"/>
                <w:b/>
                <w:sz w:val="22"/>
              </w:rPr>
              <w:t>30,99</w:t>
            </w:r>
          </w:p>
        </w:tc>
        <w:tc>
          <w:tcPr>
            <w:tcW w:w="771" w:type="dxa"/>
          </w:tcPr>
          <w:p>
            <w:pPr>
              <w:pStyle w:val="TableParagraph"/>
              <w:spacing w:line="232" w:lineRule="exact" w:before="0"/>
              <w:ind w:right="95"/>
              <w:rPr>
                <w:rFonts w:ascii="Times New Roman"/>
                <w:b/>
                <w:sz w:val="22"/>
              </w:rPr>
            </w:pPr>
            <w:r>
              <w:rPr>
                <w:rFonts w:ascii="Times New Roman"/>
                <w:b/>
                <w:sz w:val="22"/>
              </w:rPr>
              <w:t>0,37</w:t>
            </w:r>
          </w:p>
        </w:tc>
      </w:tr>
      <w:tr>
        <w:trPr>
          <w:trHeight w:val="254" w:hRule="atLeast"/>
        </w:trPr>
        <w:tc>
          <w:tcPr>
            <w:tcW w:w="569" w:type="dxa"/>
          </w:tcPr>
          <w:p>
            <w:pPr>
              <w:pStyle w:val="TableParagraph"/>
              <w:spacing w:before="0"/>
              <w:jc w:val="left"/>
              <w:rPr>
                <w:rFonts w:ascii="Times New Roman"/>
                <w:sz w:val="18"/>
              </w:rPr>
            </w:pPr>
          </w:p>
        </w:tc>
        <w:tc>
          <w:tcPr>
            <w:tcW w:w="3828" w:type="dxa"/>
          </w:tcPr>
          <w:p>
            <w:pPr>
              <w:pStyle w:val="TableParagraph"/>
              <w:spacing w:line="223" w:lineRule="exact" w:before="0"/>
              <w:ind w:left="107"/>
              <w:jc w:val="left"/>
              <w:rPr>
                <w:rFonts w:ascii="Times New Roman"/>
                <w:sz w:val="20"/>
              </w:rPr>
            </w:pPr>
            <w:r>
              <w:rPr>
                <w:rFonts w:ascii="Times New Roman"/>
                <w:sz w:val="20"/>
              </w:rPr>
              <w:t>Prihodi od prodaje neproizvedene imovine</w:t>
            </w:r>
          </w:p>
        </w:tc>
        <w:tc>
          <w:tcPr>
            <w:tcW w:w="1558" w:type="dxa"/>
          </w:tcPr>
          <w:p>
            <w:pPr>
              <w:pStyle w:val="TableParagraph"/>
              <w:spacing w:line="234" w:lineRule="exact" w:before="0"/>
              <w:ind w:right="91"/>
              <w:rPr>
                <w:rFonts w:ascii="Times New Roman"/>
                <w:sz w:val="22"/>
              </w:rPr>
            </w:pPr>
            <w:r>
              <w:rPr>
                <w:rFonts w:ascii="Times New Roman"/>
                <w:sz w:val="22"/>
              </w:rPr>
              <w:t>11.549,00</w:t>
            </w:r>
          </w:p>
        </w:tc>
        <w:tc>
          <w:tcPr>
            <w:tcW w:w="1560" w:type="dxa"/>
          </w:tcPr>
          <w:p>
            <w:pPr>
              <w:pStyle w:val="TableParagraph"/>
              <w:spacing w:line="234" w:lineRule="exact" w:before="0"/>
              <w:ind w:right="93"/>
              <w:rPr>
                <w:rFonts w:ascii="Times New Roman"/>
                <w:sz w:val="22"/>
              </w:rPr>
            </w:pPr>
            <w:r>
              <w:rPr>
                <w:rFonts w:ascii="Times New Roman"/>
                <w:sz w:val="22"/>
              </w:rPr>
              <w:t>59.000,00</w:t>
            </w:r>
          </w:p>
        </w:tc>
        <w:tc>
          <w:tcPr>
            <w:tcW w:w="1534" w:type="dxa"/>
          </w:tcPr>
          <w:p>
            <w:pPr>
              <w:pStyle w:val="TableParagraph"/>
              <w:spacing w:line="234" w:lineRule="exact" w:before="0"/>
              <w:ind w:right="94"/>
              <w:rPr>
                <w:rFonts w:ascii="Times New Roman"/>
                <w:sz w:val="22"/>
              </w:rPr>
            </w:pPr>
            <w:r>
              <w:rPr>
                <w:rFonts w:ascii="Times New Roman"/>
                <w:sz w:val="22"/>
              </w:rPr>
              <w:t>0,00</w:t>
            </w:r>
          </w:p>
        </w:tc>
        <w:tc>
          <w:tcPr>
            <w:tcW w:w="876" w:type="dxa"/>
          </w:tcPr>
          <w:p>
            <w:pPr>
              <w:pStyle w:val="TableParagraph"/>
              <w:spacing w:line="234" w:lineRule="exact" w:before="0"/>
              <w:ind w:right="97"/>
              <w:rPr>
                <w:rFonts w:ascii="Times New Roman"/>
                <w:sz w:val="22"/>
              </w:rPr>
            </w:pPr>
            <w:r>
              <w:rPr>
                <w:rFonts w:ascii="Times New Roman"/>
                <w:sz w:val="22"/>
              </w:rPr>
              <w:t>xxx</w:t>
            </w:r>
          </w:p>
        </w:tc>
        <w:tc>
          <w:tcPr>
            <w:tcW w:w="790" w:type="dxa"/>
          </w:tcPr>
          <w:p>
            <w:pPr>
              <w:pStyle w:val="TableParagraph"/>
              <w:spacing w:line="234" w:lineRule="exact" w:before="0"/>
              <w:ind w:right="97"/>
              <w:rPr>
                <w:rFonts w:ascii="Times New Roman"/>
                <w:sz w:val="22"/>
              </w:rPr>
            </w:pPr>
            <w:r>
              <w:rPr>
                <w:rFonts w:ascii="Times New Roman"/>
                <w:sz w:val="22"/>
              </w:rPr>
              <w:t>xxx</w:t>
            </w:r>
          </w:p>
        </w:tc>
        <w:tc>
          <w:tcPr>
            <w:tcW w:w="771" w:type="dxa"/>
          </w:tcPr>
          <w:p>
            <w:pPr>
              <w:pStyle w:val="TableParagraph"/>
              <w:spacing w:line="234" w:lineRule="exact" w:before="0"/>
              <w:ind w:right="95"/>
              <w:rPr>
                <w:rFonts w:ascii="Times New Roman"/>
                <w:sz w:val="22"/>
              </w:rPr>
            </w:pPr>
            <w:r>
              <w:rPr>
                <w:rFonts w:ascii="Times New Roman"/>
                <w:sz w:val="22"/>
              </w:rPr>
              <w:t>0,00</w:t>
            </w:r>
          </w:p>
        </w:tc>
      </w:tr>
      <w:tr>
        <w:trPr>
          <w:trHeight w:val="251" w:hRule="atLeast"/>
        </w:trPr>
        <w:tc>
          <w:tcPr>
            <w:tcW w:w="569" w:type="dxa"/>
          </w:tcPr>
          <w:p>
            <w:pPr>
              <w:pStyle w:val="TableParagraph"/>
              <w:spacing w:before="0"/>
              <w:jc w:val="left"/>
              <w:rPr>
                <w:rFonts w:ascii="Times New Roman"/>
                <w:sz w:val="18"/>
              </w:rPr>
            </w:pPr>
          </w:p>
        </w:tc>
        <w:tc>
          <w:tcPr>
            <w:tcW w:w="3828" w:type="dxa"/>
          </w:tcPr>
          <w:p>
            <w:pPr>
              <w:pStyle w:val="TableParagraph"/>
              <w:spacing w:line="223" w:lineRule="exact" w:before="0"/>
              <w:ind w:left="107"/>
              <w:jc w:val="left"/>
              <w:rPr>
                <w:rFonts w:ascii="Times New Roman"/>
                <w:sz w:val="20"/>
              </w:rPr>
            </w:pPr>
            <w:r>
              <w:rPr>
                <w:rFonts w:ascii="Times New Roman"/>
                <w:sz w:val="20"/>
              </w:rPr>
              <w:t>Prihodi od prodaje proizvedene imovine</w:t>
            </w:r>
          </w:p>
        </w:tc>
        <w:tc>
          <w:tcPr>
            <w:tcW w:w="1558" w:type="dxa"/>
          </w:tcPr>
          <w:p>
            <w:pPr>
              <w:pStyle w:val="TableParagraph"/>
              <w:spacing w:line="232" w:lineRule="exact" w:before="0"/>
              <w:ind w:right="89"/>
              <w:rPr>
                <w:rFonts w:ascii="Times New Roman"/>
                <w:sz w:val="22"/>
              </w:rPr>
            </w:pPr>
            <w:r>
              <w:rPr>
                <w:rFonts w:ascii="Times New Roman"/>
                <w:sz w:val="22"/>
              </w:rPr>
              <w:t>13.956,71</w:t>
            </w:r>
          </w:p>
        </w:tc>
        <w:tc>
          <w:tcPr>
            <w:tcW w:w="1560" w:type="dxa"/>
          </w:tcPr>
          <w:p>
            <w:pPr>
              <w:pStyle w:val="TableParagraph"/>
              <w:spacing w:line="232" w:lineRule="exact" w:before="0"/>
              <w:ind w:right="93"/>
              <w:rPr>
                <w:rFonts w:ascii="Times New Roman"/>
                <w:sz w:val="22"/>
              </w:rPr>
            </w:pPr>
            <w:r>
              <w:rPr>
                <w:rFonts w:ascii="Times New Roman"/>
                <w:sz w:val="22"/>
              </w:rPr>
              <w:t>30.000,00</w:t>
            </w:r>
          </w:p>
        </w:tc>
        <w:tc>
          <w:tcPr>
            <w:tcW w:w="1534" w:type="dxa"/>
          </w:tcPr>
          <w:p>
            <w:pPr>
              <w:pStyle w:val="TableParagraph"/>
              <w:spacing w:line="232" w:lineRule="exact" w:before="0"/>
              <w:ind w:right="92"/>
              <w:rPr>
                <w:rFonts w:ascii="Times New Roman"/>
                <w:sz w:val="22"/>
              </w:rPr>
            </w:pPr>
            <w:r>
              <w:rPr>
                <w:rFonts w:ascii="Times New Roman"/>
                <w:sz w:val="22"/>
              </w:rPr>
              <w:t>27.581,07</w:t>
            </w:r>
          </w:p>
        </w:tc>
        <w:tc>
          <w:tcPr>
            <w:tcW w:w="876" w:type="dxa"/>
          </w:tcPr>
          <w:p>
            <w:pPr>
              <w:pStyle w:val="TableParagraph"/>
              <w:spacing w:line="232" w:lineRule="exact" w:before="0"/>
              <w:ind w:right="94"/>
              <w:rPr>
                <w:rFonts w:ascii="Times New Roman"/>
                <w:sz w:val="22"/>
              </w:rPr>
            </w:pPr>
            <w:r>
              <w:rPr>
                <w:rFonts w:ascii="Times New Roman"/>
                <w:sz w:val="22"/>
              </w:rPr>
              <w:t>197,62</w:t>
            </w:r>
          </w:p>
        </w:tc>
        <w:tc>
          <w:tcPr>
            <w:tcW w:w="790" w:type="dxa"/>
          </w:tcPr>
          <w:p>
            <w:pPr>
              <w:pStyle w:val="TableParagraph"/>
              <w:spacing w:line="232" w:lineRule="exact" w:before="0"/>
              <w:ind w:right="95"/>
              <w:rPr>
                <w:rFonts w:ascii="Times New Roman"/>
                <w:sz w:val="22"/>
              </w:rPr>
            </w:pPr>
            <w:r>
              <w:rPr>
                <w:rFonts w:ascii="Times New Roman"/>
                <w:sz w:val="22"/>
              </w:rPr>
              <w:t>91,94</w:t>
            </w:r>
          </w:p>
        </w:tc>
        <w:tc>
          <w:tcPr>
            <w:tcW w:w="771" w:type="dxa"/>
          </w:tcPr>
          <w:p>
            <w:pPr>
              <w:pStyle w:val="TableParagraph"/>
              <w:spacing w:line="232" w:lineRule="exact" w:before="0"/>
              <w:ind w:right="95"/>
              <w:rPr>
                <w:rFonts w:ascii="Times New Roman"/>
                <w:sz w:val="22"/>
              </w:rPr>
            </w:pPr>
            <w:r>
              <w:rPr>
                <w:rFonts w:ascii="Times New Roman"/>
                <w:sz w:val="22"/>
              </w:rPr>
              <w:t>0,37</w:t>
            </w:r>
          </w:p>
        </w:tc>
      </w:tr>
      <w:tr>
        <w:trPr>
          <w:trHeight w:val="253" w:hRule="atLeast"/>
        </w:trPr>
        <w:tc>
          <w:tcPr>
            <w:tcW w:w="569" w:type="dxa"/>
          </w:tcPr>
          <w:p>
            <w:pPr>
              <w:pStyle w:val="TableParagraph"/>
              <w:spacing w:line="233" w:lineRule="exact" w:before="1"/>
              <w:ind w:left="110"/>
              <w:jc w:val="left"/>
              <w:rPr>
                <w:rFonts w:ascii="Times New Roman"/>
                <w:b/>
                <w:sz w:val="22"/>
              </w:rPr>
            </w:pPr>
            <w:r>
              <w:rPr>
                <w:rFonts w:ascii="Times New Roman"/>
                <w:b/>
                <w:sz w:val="22"/>
              </w:rPr>
              <w:t>3.</w:t>
            </w:r>
          </w:p>
        </w:tc>
        <w:tc>
          <w:tcPr>
            <w:tcW w:w="3828" w:type="dxa"/>
          </w:tcPr>
          <w:p>
            <w:pPr>
              <w:pStyle w:val="TableParagraph"/>
              <w:spacing w:before="0"/>
              <w:ind w:left="107"/>
              <w:jc w:val="left"/>
              <w:rPr>
                <w:rFonts w:ascii="Times New Roman"/>
                <w:b/>
                <w:sz w:val="20"/>
              </w:rPr>
            </w:pPr>
            <w:r>
              <w:rPr>
                <w:rFonts w:ascii="Times New Roman"/>
                <w:b/>
                <w:sz w:val="20"/>
              </w:rPr>
              <w:t>UKUPNI PRIHODI</w:t>
            </w:r>
          </w:p>
        </w:tc>
        <w:tc>
          <w:tcPr>
            <w:tcW w:w="1558" w:type="dxa"/>
          </w:tcPr>
          <w:p>
            <w:pPr>
              <w:pStyle w:val="TableParagraph"/>
              <w:spacing w:line="233" w:lineRule="exact" w:before="1"/>
              <w:ind w:right="89"/>
              <w:rPr>
                <w:rFonts w:ascii="Times New Roman"/>
                <w:b/>
                <w:sz w:val="22"/>
              </w:rPr>
            </w:pPr>
            <w:r>
              <w:rPr>
                <w:rFonts w:ascii="Times New Roman"/>
                <w:b/>
                <w:sz w:val="22"/>
              </w:rPr>
              <w:t>6.297.502,22</w:t>
            </w:r>
          </w:p>
        </w:tc>
        <w:tc>
          <w:tcPr>
            <w:tcW w:w="1560" w:type="dxa"/>
          </w:tcPr>
          <w:p>
            <w:pPr>
              <w:pStyle w:val="TableParagraph"/>
              <w:spacing w:line="233" w:lineRule="exact" w:before="1"/>
              <w:ind w:right="91"/>
              <w:rPr>
                <w:rFonts w:ascii="Times New Roman"/>
                <w:b/>
                <w:sz w:val="22"/>
              </w:rPr>
            </w:pPr>
            <w:r>
              <w:rPr>
                <w:rFonts w:ascii="Times New Roman"/>
                <w:b/>
                <w:sz w:val="22"/>
              </w:rPr>
              <w:t>16.201.000,00</w:t>
            </w:r>
          </w:p>
        </w:tc>
        <w:tc>
          <w:tcPr>
            <w:tcW w:w="1534" w:type="dxa"/>
          </w:tcPr>
          <w:p>
            <w:pPr>
              <w:pStyle w:val="TableParagraph"/>
              <w:spacing w:line="233" w:lineRule="exact" w:before="1"/>
              <w:ind w:right="94"/>
              <w:rPr>
                <w:rFonts w:ascii="Times New Roman"/>
                <w:b/>
                <w:sz w:val="22"/>
              </w:rPr>
            </w:pPr>
            <w:r>
              <w:rPr>
                <w:rFonts w:ascii="Times New Roman"/>
                <w:b/>
                <w:sz w:val="22"/>
              </w:rPr>
              <w:t>7.461.994,93</w:t>
            </w:r>
          </w:p>
        </w:tc>
        <w:tc>
          <w:tcPr>
            <w:tcW w:w="876" w:type="dxa"/>
          </w:tcPr>
          <w:p>
            <w:pPr>
              <w:pStyle w:val="TableParagraph"/>
              <w:spacing w:line="233" w:lineRule="exact" w:before="1"/>
              <w:ind w:right="94"/>
              <w:rPr>
                <w:rFonts w:ascii="Times New Roman"/>
                <w:b/>
                <w:sz w:val="22"/>
              </w:rPr>
            </w:pPr>
            <w:r>
              <w:rPr>
                <w:rFonts w:ascii="Times New Roman"/>
                <w:b/>
                <w:sz w:val="22"/>
              </w:rPr>
              <w:t>118,49</w:t>
            </w:r>
          </w:p>
        </w:tc>
        <w:tc>
          <w:tcPr>
            <w:tcW w:w="790" w:type="dxa"/>
          </w:tcPr>
          <w:p>
            <w:pPr>
              <w:pStyle w:val="TableParagraph"/>
              <w:spacing w:line="233" w:lineRule="exact" w:before="1"/>
              <w:ind w:right="95"/>
              <w:rPr>
                <w:rFonts w:ascii="Times New Roman"/>
                <w:b/>
                <w:sz w:val="22"/>
              </w:rPr>
            </w:pPr>
            <w:r>
              <w:rPr>
                <w:rFonts w:ascii="Times New Roman"/>
                <w:b/>
                <w:sz w:val="22"/>
              </w:rPr>
              <w:t>46,06</w:t>
            </w:r>
          </w:p>
        </w:tc>
        <w:tc>
          <w:tcPr>
            <w:tcW w:w="771" w:type="dxa"/>
          </w:tcPr>
          <w:p>
            <w:pPr>
              <w:pStyle w:val="TableParagraph"/>
              <w:spacing w:line="233" w:lineRule="exact" w:before="1"/>
              <w:ind w:right="95"/>
              <w:rPr>
                <w:rFonts w:ascii="Times New Roman"/>
                <w:b/>
                <w:sz w:val="22"/>
              </w:rPr>
            </w:pPr>
            <w:r>
              <w:rPr>
                <w:rFonts w:ascii="Times New Roman"/>
                <w:b/>
                <w:sz w:val="22"/>
              </w:rPr>
              <w:t>100,00</w:t>
            </w:r>
          </w:p>
        </w:tc>
      </w:tr>
    </w:tbl>
    <w:p>
      <w:pPr>
        <w:pStyle w:val="BodyText"/>
        <w:spacing w:before="3"/>
        <w:rPr>
          <w:sz w:val="23"/>
        </w:rPr>
      </w:pPr>
    </w:p>
    <w:p>
      <w:pPr>
        <w:pStyle w:val="BodyText"/>
        <w:ind w:left="1256" w:right="1393" w:firstLine="540"/>
        <w:jc w:val="both"/>
      </w:pPr>
      <w:r>
        <w:rPr/>
        <w:t>Ukupni prihodi za 2014. godinu planirani su u iznosu od 16.201.000,00 kn, a u prvoj polovici 2014. godine ostvareni su u iznosu od 7.461.994,93 kn. U prvoj polovici 2014. godine, znatno manje ostvarenje ispod 50% godišnjeg plana za 2014. godinu, bilježe prihodi</w:t>
      </w:r>
    </w:p>
    <w:p>
      <w:pPr>
        <w:spacing w:after="0"/>
        <w:jc w:val="both"/>
        <w:sectPr>
          <w:pgSz w:w="11910" w:h="16840"/>
          <w:pgMar w:header="0" w:footer="769" w:top="980" w:bottom="980" w:left="160" w:right="20"/>
        </w:sectPr>
      </w:pPr>
    </w:p>
    <w:p>
      <w:pPr>
        <w:pStyle w:val="BodyText"/>
        <w:spacing w:before="68"/>
        <w:ind w:left="1256" w:right="1397"/>
        <w:jc w:val="both"/>
      </w:pPr>
      <w:r>
        <w:rPr/>
        <w:t>od pomoći (11,51%), prihodi od kazni, upravnih mjera i ostali prihodi (20%) i prihodi od prodaje neproizvedene nefinancijske imovine (0,00%).</w:t>
      </w:r>
    </w:p>
    <w:p>
      <w:pPr>
        <w:pStyle w:val="BodyText"/>
        <w:spacing w:before="11"/>
        <w:rPr>
          <w:sz w:val="23"/>
        </w:rPr>
      </w:pPr>
    </w:p>
    <w:p>
      <w:pPr>
        <w:pStyle w:val="BodyText"/>
        <w:ind w:left="1256" w:right="1393"/>
        <w:jc w:val="both"/>
      </w:pPr>
      <w:r>
        <w:rPr>
          <w:b/>
        </w:rPr>
        <w:t>Prihodi poslovanja</w:t>
      </w:r>
      <w:r>
        <w:rPr/>
        <w:t>- ostvareni su u iznosu od 7.434.413,86 kn što u odnosu na godišnji plan predstavlja ostvarenje od 46,14%. U odnosu na isto razdoblje 2013. godine, prihodi poslovanja bilježe rast od 18,53%. Udio prihoda poslovanja u ukupnim prihodima ostvarenim u prvoj polovici 2014. godine iznosi 99,63%. Ostvarenje prihoda poslovanja, obzirom na vrste prihoda, je</w:t>
      </w:r>
      <w:r>
        <w:rPr>
          <w:spacing w:val="-1"/>
        </w:rPr>
        <w:t> </w:t>
      </w:r>
      <w:r>
        <w:rPr/>
        <w:t>slijedeće:</w:t>
      </w:r>
    </w:p>
    <w:p>
      <w:pPr>
        <w:pStyle w:val="BodyText"/>
      </w:pPr>
    </w:p>
    <w:p>
      <w:pPr>
        <w:pStyle w:val="BodyText"/>
        <w:ind w:left="1539" w:right="1393" w:firstLine="60"/>
        <w:jc w:val="both"/>
      </w:pPr>
      <w:r>
        <w:rPr>
          <w:b/>
          <w:i/>
          <w:u w:val="thick"/>
        </w:rPr>
        <w:t>Prihodi od poreza</w:t>
      </w:r>
      <w:r>
        <w:rPr>
          <w:b/>
          <w:i/>
        </w:rPr>
        <w:t> </w:t>
      </w:r>
      <w:r>
        <w:rPr/>
        <w:t>– u odnosu na ukupno ostvarene prihode, prihodi od poreza čine najveći dio: 69,44%. Ostvareni su u iznosu od 5.181.520,83 kn te izvršenje u odnosu na plan iznosi 49,77%. U odnosu na isto razdoblje prethodne godine, prihodi od poreza bilježe rast od 17,98%.</w:t>
      </w:r>
    </w:p>
    <w:p>
      <w:pPr>
        <w:spacing w:line="240" w:lineRule="auto" w:before="0"/>
        <w:ind w:left="1616" w:right="1393" w:firstLine="348"/>
        <w:jc w:val="both"/>
        <w:rPr>
          <w:rFonts w:ascii="Times New Roman" w:hAnsi="Times New Roman"/>
          <w:b/>
          <w:sz w:val="24"/>
        </w:rPr>
      </w:pPr>
      <w:r>
        <w:rPr>
          <w:rFonts w:ascii="Times New Roman" w:hAnsi="Times New Roman"/>
          <w:sz w:val="24"/>
        </w:rPr>
        <w:t>Najbolje ostvarenje prihoda od poreza  u prvoj polovici 2014. godine imaju </w:t>
      </w:r>
      <w:r>
        <w:rPr>
          <w:rFonts w:ascii="Times New Roman" w:hAnsi="Times New Roman"/>
          <w:b/>
          <w:sz w:val="24"/>
        </w:rPr>
        <w:t>prihodi  od poreza i prireza na dohodak, </w:t>
      </w:r>
      <w:r>
        <w:rPr>
          <w:rFonts w:ascii="Times New Roman" w:hAnsi="Times New Roman"/>
          <w:sz w:val="24"/>
        </w:rPr>
        <w:t>koji bilježe ostvarenje od 51,05% u odnosu na godišnji plan. Ostvareni su u iznosu od 4.861.244,05 kn. </w:t>
      </w:r>
      <w:r>
        <w:rPr>
          <w:rFonts w:ascii="Times New Roman" w:hAnsi="Times New Roman"/>
          <w:b/>
          <w:sz w:val="24"/>
        </w:rPr>
        <w:t>Od ukupnog iznosa ostvarenih prihoda od poreza i prireza na dohodak, na porez na dohodak odnosi se dio u iznosu od 4.009.641,59 kn, a na prirez na porez na dohodak odnosi se iznos od 851.602,46</w:t>
      </w:r>
      <w:r>
        <w:rPr>
          <w:rFonts w:ascii="Times New Roman" w:hAnsi="Times New Roman"/>
          <w:b/>
          <w:spacing w:val="-22"/>
          <w:sz w:val="24"/>
        </w:rPr>
        <w:t> </w:t>
      </w:r>
      <w:r>
        <w:rPr>
          <w:rFonts w:ascii="Times New Roman" w:hAnsi="Times New Roman"/>
          <w:b/>
          <w:sz w:val="24"/>
        </w:rPr>
        <w:t>kn.</w:t>
      </w:r>
    </w:p>
    <w:p>
      <w:pPr>
        <w:pStyle w:val="BodyText"/>
        <w:ind w:left="1616" w:right="1386"/>
      </w:pPr>
      <w:r>
        <w:rPr/>
        <w:t>Unutar prihoda od poreza i prireza na dohodak najveći udio imaju prihodi od poreza i prireza na dohodak od nesamostalnog rada (iz plaća zaposlenih) koji su ostvareni u iznosu od 4.694.501,15 kn. U odnosu na isto razdoblje prethodne godine bilježe rast od 10,69%. Prihodi od poreza i prireza na dohodak od samostalnih djelatnosti ostvareni su u iznosu od 457.618,80 kn, od čega na prihode od poreza i prireza obrtnika i slobodnih zanimanja otpada iznos od 289.387,73 kn, a na prihode od poreza i prireza od ostalih samostalnih djelatnosti, koje se povremeno obavljaju, otpada iznos od 168.231,07 kn. U odnosu na isto razdoblje prethodne godine bilježe rast od 69,26%.</w:t>
      </w:r>
    </w:p>
    <w:p>
      <w:pPr>
        <w:pStyle w:val="BodyText"/>
        <w:ind w:left="1616" w:right="1393"/>
        <w:jc w:val="both"/>
      </w:pPr>
      <w:r>
        <w:rPr/>
        <w:t>Prihode od poreza i prireza od imovine i imovinskih prava, koji su ostvareni u ukupnom iznosu od 42.178,06 kn čine prihodi od poreza od zakupa, najma, prodaje imovinskih prava i sl. (37.798,23 kn) i prihodi od iznajmljivanja stanova, soba i postelja putnicima i turistima (4.379,83 kn). U odnosu na isto razdoblje prethodne godine bilježe rast </w:t>
      </w:r>
      <w:r>
        <w:rPr>
          <w:spacing w:val="-6"/>
        </w:rPr>
        <w:t>od </w:t>
      </w:r>
      <w:r>
        <w:rPr/>
        <w:t>31,68%.</w:t>
      </w:r>
    </w:p>
    <w:p>
      <w:pPr>
        <w:pStyle w:val="BodyText"/>
        <w:ind w:left="1616" w:right="1392"/>
        <w:jc w:val="both"/>
      </w:pPr>
      <w:r>
        <w:rPr/>
        <w:t>Prihodi od poreza i prireza na dohodak od kapitala, koji su ostvareni u iznosu od 119.707,66 kn, sastoje se od prihoda od poreza i prireza na dohodak od dividendi i udjela u dobiti (108.426,95 kn), te od prihoda od poreza i prireza na dohodak od osiguranja života i dobrovoljnog mirovinskog osiguranja (11.280,71 kn). U odnosu na isto razdoblje prethodne godine bilježe pad od 15,99% (radi smanjenja iznosa dividendi po dionicama prvenstveno tvrtke HT</w:t>
      </w:r>
      <w:r>
        <w:rPr>
          <w:spacing w:val="-2"/>
        </w:rPr>
        <w:t> </w:t>
      </w:r>
      <w:r>
        <w:rPr/>
        <w:t>d.d.).</w:t>
      </w:r>
    </w:p>
    <w:p>
      <w:pPr>
        <w:pStyle w:val="BodyText"/>
        <w:ind w:left="1616" w:right="1393"/>
        <w:jc w:val="both"/>
      </w:pPr>
      <w:r>
        <w:rPr/>
        <w:t>Po prijavama poreza na dohodak za 2013. godinu, u prvom polugodištu 2014. godine, uplaćeno je 98.744,42 kn, a vraćeno je 560.993,03 kn poreza i prireza na porez na dohodak. Uplate poreza po prijavama ostvarene su u većem iznosu u odnosu na isto razdoblje prethodne godine za 357,19%, a povrati poreza po prijavama manji su u odnosu na ostvarenje iz istog razdoblja prethodne godine za 1,33%.</w:t>
      </w:r>
    </w:p>
    <w:p>
      <w:pPr>
        <w:pStyle w:val="BodyText"/>
        <w:ind w:left="1616" w:right="1395"/>
        <w:jc w:val="both"/>
      </w:pPr>
      <w:r>
        <w:rPr/>
        <w:t>Po postupcima nadzora nadležnih institucija za ranije godine, izvršena je uplata poreza i prireza na dohodak u iznosu od 9.486,99 kn, što je manje u odnosu na isto razdoblje prethodne godine za 47,75%.</w:t>
      </w:r>
    </w:p>
    <w:p>
      <w:pPr>
        <w:pStyle w:val="BodyText"/>
        <w:ind w:left="1616" w:right="1389" w:firstLine="348"/>
        <w:jc w:val="both"/>
      </w:pPr>
      <w:r>
        <w:rPr>
          <w:b/>
        </w:rPr>
        <w:t>Prihodi od poreza na imovinu os</w:t>
      </w:r>
      <w:r>
        <w:rPr/>
        <w:t>tvareni su u iznosu od 259.015,51 kn, što u odnosu na godišnji plan predstavlja ostvarenje od 45,92%. U odnosu na ostvarenje u istom razdoblju prethodne godine, prihodi od poreza na imovinu bilježe rast od 43,65%. Prihode od poreza na imovinu čine povremeni porezi na imovinu, odnosno prihodi od poreza na promet nekretnina, koji su ostvareni u iznosu od 246.669,73 kn, te stalni porezi na nepokretnu imovinu: prihodi od poreza na kuće za odmor, koji su ostvareni u iznosu od 11.945,78 kn, i prihodi od poreza za korištenje javnih površina, koji su ostvareni u iznosu od 400,00 kn.</w:t>
      </w:r>
    </w:p>
    <w:p>
      <w:pPr>
        <w:spacing w:after="0"/>
        <w:jc w:val="both"/>
        <w:sectPr>
          <w:pgSz w:w="11910" w:h="16840"/>
          <w:pgMar w:header="0" w:footer="769" w:top="900" w:bottom="980" w:left="160" w:right="20"/>
        </w:sectPr>
      </w:pPr>
    </w:p>
    <w:p>
      <w:pPr>
        <w:pStyle w:val="BodyText"/>
        <w:spacing w:before="68"/>
        <w:ind w:left="1616" w:right="1388" w:firstLine="348"/>
        <w:jc w:val="both"/>
      </w:pPr>
      <w:r>
        <w:rPr>
          <w:b/>
        </w:rPr>
        <w:t>Prihodi od poreza na robu i usluge o</w:t>
      </w:r>
      <w:r>
        <w:rPr/>
        <w:t>stvareni su u iznosu od 61.261,27 kn, od čega  se na prihode od poreza na potrošnju (porez na promet) odnosi iznos od 53.210,25 kn, a na prihode od poreza na tvrtku (porez na korištenje dobara ili izvođenje aktivnosti) odnosi se iznos od 8.051,02 kn. U odnosu na isto razdoblje prethodne godine, prihodi od poreza na potrošnju bilježe rast od 45,53%, a prihodi od poreza na tvrtku pad od 53,27%. Veliki pad ostvarenja prihoda od poreza na tvrtku dogodio se stoga što Rješenja za porez na tvrtku nisu poslana obveznicima u prvom polugodištu 2014.</w:t>
      </w:r>
      <w:r>
        <w:rPr>
          <w:spacing w:val="-1"/>
        </w:rPr>
        <w:t> </w:t>
      </w:r>
      <w:r>
        <w:rPr/>
        <w:t>godine.</w:t>
      </w:r>
    </w:p>
    <w:p>
      <w:pPr>
        <w:pStyle w:val="BodyText"/>
        <w:spacing w:before="2"/>
      </w:pPr>
    </w:p>
    <w:p>
      <w:pPr>
        <w:pStyle w:val="ListParagraph"/>
        <w:numPr>
          <w:ilvl w:val="0"/>
          <w:numId w:val="3"/>
        </w:numPr>
        <w:tabs>
          <w:tab w:pos="1616" w:val="left" w:leader="none"/>
        </w:tabs>
        <w:spacing w:line="240" w:lineRule="auto" w:before="0" w:after="0"/>
        <w:ind w:left="1616" w:right="1395" w:hanging="360"/>
        <w:jc w:val="both"/>
        <w:rPr>
          <w:sz w:val="24"/>
        </w:rPr>
      </w:pPr>
      <w:r>
        <w:rPr>
          <w:b/>
          <w:i/>
          <w:sz w:val="24"/>
          <w:u w:val="thick"/>
        </w:rPr>
        <w:t>Prihodi od pomoći</w:t>
      </w:r>
      <w:r>
        <w:rPr>
          <w:b/>
          <w:i/>
          <w:sz w:val="24"/>
        </w:rPr>
        <w:t> </w:t>
      </w:r>
      <w:r>
        <w:rPr>
          <w:sz w:val="24"/>
        </w:rPr>
        <w:t>– čine 2,45% ukupno ostvarenih prihoda u prvom polugodištu 2014. godine. Ostvareni su u iznosu od 183.170,00 kn, što predstavlja ostvarenje plana od 11,51%. U odnosu na isto razdoblje 2013. godine, prihodi od pomoći bilježe pad od 26,92%.</w:t>
      </w:r>
    </w:p>
    <w:p>
      <w:pPr>
        <w:pStyle w:val="BodyText"/>
        <w:ind w:left="1616" w:right="1393" w:firstLine="348"/>
        <w:jc w:val="both"/>
      </w:pPr>
      <w:r>
        <w:rPr/>
        <w:t>Tekuće pomoći iz proračuna ostvarene su u iznosu od 12.020,00 kn, od čega se iznos od 7.120,00 kn odnosi na tekuću pomoć iz Ministarstva znanosti, obrazovanja i sporta za program predškole dječjeg vrtića „Zvončić“ a iznos od 4.900,00 kn odnosi se na pomoć Karlovačke županije za pokriće troškova putovanja tamburaške sekcije KUD-a „Ključ“ iz Trga u Ameriku i Canadu. U odnosu na ostvarenje prethodne godine, dobivene tekuće pomoći su manje za 94,52% prvenstveno radi neodobravanja zapošljavanja djelatnika na Programu javnih radova u prvoj polovici godine radi čega je izostala i pomoć za pokriće troškova navedenog programa.</w:t>
      </w:r>
    </w:p>
    <w:p>
      <w:pPr>
        <w:pStyle w:val="BodyText"/>
        <w:ind w:left="1616" w:right="1392" w:firstLine="348"/>
        <w:jc w:val="both"/>
      </w:pPr>
      <w:r>
        <w:rPr/>
        <w:t>Kapitalne pomoći iz proračuna ostvarene su u iznosu od 171.150,00 kn. Iznos od 10.000,00 kn odnosi na pomoć Karlovačke županije za nabavu opreme za potrebe Zavičajnog muzeja Ozalj, iznos od 40.000,00 kn odnosi se na pomoć Karlovačke županije za modernizaciju nerazvrstanih cesta u naseljima Jaškovo i Fratrovci, iznos od 56.218,75 kn odnosi se na pomoć Ministarstva regionalnog razvoja i fondova EU za izradu projektne dokumentacije za projekt „Šetalište Slave Raškaj“ a iznos od 42.531,25 kn odnosi se na pomoć Ministarstva regionalnog razvoja i fondova EU za izradu Studije izvedivosti s analizom troškova i koristi za projekt „Ozalj – europska kolijevka akvarela“.</w:t>
      </w:r>
    </w:p>
    <w:p>
      <w:pPr>
        <w:pStyle w:val="BodyText"/>
        <w:spacing w:before="10"/>
        <w:rPr>
          <w:sz w:val="23"/>
        </w:rPr>
      </w:pPr>
    </w:p>
    <w:p>
      <w:pPr>
        <w:pStyle w:val="ListParagraph"/>
        <w:numPr>
          <w:ilvl w:val="0"/>
          <w:numId w:val="3"/>
        </w:numPr>
        <w:tabs>
          <w:tab w:pos="1616" w:val="left" w:leader="none"/>
        </w:tabs>
        <w:spacing w:line="240" w:lineRule="auto" w:before="0" w:after="0"/>
        <w:ind w:left="1616" w:right="1393" w:hanging="360"/>
        <w:jc w:val="both"/>
        <w:rPr>
          <w:sz w:val="24"/>
        </w:rPr>
      </w:pPr>
      <w:r>
        <w:rPr>
          <w:b/>
          <w:i/>
          <w:sz w:val="24"/>
          <w:u w:val="thick"/>
        </w:rPr>
        <w:t>Prihodi od imovine</w:t>
      </w:r>
      <w:r>
        <w:rPr>
          <w:b/>
          <w:i/>
          <w:sz w:val="24"/>
        </w:rPr>
        <w:t> </w:t>
      </w:r>
      <w:r>
        <w:rPr>
          <w:sz w:val="24"/>
        </w:rPr>
        <w:t>– čine 3,85% ukupno ostvarenih prihoda u prvom polugodištu 2014. godine. Ostvareni su u iznosu od 287.228,30 kn, što iznosi 82,07% plana. Sastoje se od prihoda od financijske imovine (kamata), čije ostvarenje iznosi 2.324,55 kn, i prihoda od nefinancijske imovine, čije ostvarenje iznosi 284.903,75 kn.</w:t>
      </w:r>
    </w:p>
    <w:p>
      <w:pPr>
        <w:pStyle w:val="BodyText"/>
        <w:ind w:left="1616" w:right="1393" w:firstLine="348"/>
        <w:jc w:val="both"/>
      </w:pPr>
      <w:r>
        <w:rPr/>
        <w:t>Prihodi od nefinancijske imovine odnose se na prihode po osnovi koncesije za obavljanje dimnjačarskih i pogrebnih poslova (2.700,00 kn), na prihode po osnovi zakupa i iznajmljivanja imovine (54.144,10 kn), na naknade za korištenje nefinancijske imovine (prihoda od naknade za korištenje prostora elektrane i prihoda od spomeničke rente - 128.903,08 kn) te na ostale prihode od nefinancijske imovine (naknada za zadržavanje nezakonito izgrađenih zgrada - 99.156,57</w:t>
      </w:r>
      <w:r>
        <w:rPr>
          <w:spacing w:val="-3"/>
        </w:rPr>
        <w:t> </w:t>
      </w:r>
      <w:r>
        <w:rPr/>
        <w:t>kn).</w:t>
      </w:r>
    </w:p>
    <w:p>
      <w:pPr>
        <w:pStyle w:val="BodyText"/>
        <w:spacing w:before="4"/>
      </w:pPr>
    </w:p>
    <w:p>
      <w:pPr>
        <w:pStyle w:val="ListParagraph"/>
        <w:numPr>
          <w:ilvl w:val="0"/>
          <w:numId w:val="3"/>
        </w:numPr>
        <w:tabs>
          <w:tab w:pos="1616" w:val="left" w:leader="none"/>
        </w:tabs>
        <w:spacing w:line="240" w:lineRule="auto" w:before="0" w:after="0"/>
        <w:ind w:left="1616" w:right="1393" w:hanging="360"/>
        <w:jc w:val="both"/>
        <w:rPr>
          <w:sz w:val="24"/>
        </w:rPr>
      </w:pPr>
      <w:r>
        <w:rPr>
          <w:b/>
          <w:i/>
          <w:sz w:val="24"/>
          <w:u w:val="thick"/>
        </w:rPr>
        <w:t>Prihodi od administrativnih pristojbi, pristojbi po posebnim propisima i prihodi </w:t>
      </w:r>
      <w:r>
        <w:rPr>
          <w:b/>
          <w:i/>
          <w:spacing w:val="-6"/>
          <w:sz w:val="24"/>
          <w:u w:val="thick"/>
        </w:rPr>
        <w:t>od</w:t>
      </w:r>
      <w:r>
        <w:rPr>
          <w:b/>
          <w:i/>
          <w:spacing w:val="-6"/>
          <w:sz w:val="24"/>
        </w:rPr>
        <w:t> </w:t>
      </w:r>
      <w:r>
        <w:rPr>
          <w:b/>
          <w:i/>
          <w:sz w:val="24"/>
          <w:u w:val="thick"/>
        </w:rPr>
        <w:t>naknada</w:t>
      </w:r>
      <w:r>
        <w:rPr>
          <w:b/>
          <w:i/>
          <w:sz w:val="24"/>
        </w:rPr>
        <w:t> </w:t>
      </w:r>
      <w:r>
        <w:rPr>
          <w:sz w:val="24"/>
        </w:rPr>
        <w:t>– čine 16,05% ukupnio ostvarenih prihoda. Iznose 1.197.785,73 kn, što predstavlja ostvarenje od 45,63% godišnjeg plana. Sastoje se od prihoda od prodaje administrativnih i ostalih pristojbi koji su ostvareni u iznosu od 50.993,39 kn, prihoda po posebnim propisima koji su ostvareni u iznosu od 616.387,81 kn i prihoda od komunalnih doprinosa i naknada koji su ostvareni u iznosu od 530.404,53 kn. U odnosu na ostvarenje u istom razdoblju prethodne godine, ostvarenje ovih prihoda bilježi rast od</w:t>
      </w:r>
      <w:r>
        <w:rPr>
          <w:spacing w:val="-2"/>
          <w:sz w:val="24"/>
        </w:rPr>
        <w:t> </w:t>
      </w:r>
      <w:r>
        <w:rPr>
          <w:sz w:val="24"/>
        </w:rPr>
        <w:t>23,81%.</w:t>
      </w:r>
    </w:p>
    <w:p>
      <w:pPr>
        <w:pStyle w:val="BodyText"/>
        <w:ind w:left="1616" w:right="1392" w:firstLine="348"/>
        <w:jc w:val="both"/>
      </w:pPr>
      <w:r>
        <w:rPr/>
        <w:t>Najveći udio unutar ove vrste prihoda imaju prihodi po posebnim propisima. U prvoj polovici godine ostvareno je 11.282,94 kn vodnog doprinosa, 18.658,82 kn doprinosa za šume, 4.550,00 kn mjesnog samodoprinosa te 581.896,05 kn ostalih nespomenutih prihoda. Od ukupno ostvarenih ostalih nespomenutih prihoda dio od 52.577,26 kn odnosi se na prihode po osnovi refundacije troškova centralnog grijanja korisnika kotlovnice na adresi Kurilovac 1, dio od 19.150,23 kn odnosi se na prihode po osnovi naplate naknade</w:t>
      </w:r>
    </w:p>
    <w:p>
      <w:pPr>
        <w:spacing w:after="0"/>
        <w:jc w:val="both"/>
        <w:sectPr>
          <w:pgSz w:w="11910" w:h="16840"/>
          <w:pgMar w:header="0" w:footer="769" w:top="900" w:bottom="980" w:left="160" w:right="20"/>
        </w:sectPr>
      </w:pPr>
    </w:p>
    <w:p>
      <w:pPr>
        <w:pStyle w:val="BodyText"/>
        <w:spacing w:before="68"/>
        <w:ind w:left="1616" w:right="1391"/>
        <w:jc w:val="both"/>
      </w:pPr>
      <w:r>
        <w:rPr/>
        <w:t>za uređenje voda za račun Hrvatskih voda (5%), dio od 2.512,02 kn odnosi se na prihode od naknade za promjenu namjene poljoprivrednog zemljišta, dio od 304.305,00 kn odnosi se na prihode od naknade za služnost za elektroničku komunikacijsku infrastrukturu (HT d.d.), dio od 122.288,12 kn odnosi se na refundaciju troškova izgradnje parkirališta za potrebe MUP-a, a dio od 81.063,42 kn odnosi se na refundaciju troškova plaćanja doprinosa za volontere gradske uprave i proračunskih korisnika. Svi navedeni prihodi po posebnim propisima bilježe rast u odnosu na ostvarenje u istom razdoblju prethodne godine.</w:t>
      </w:r>
    </w:p>
    <w:p>
      <w:pPr>
        <w:pStyle w:val="BodyText"/>
        <w:ind w:left="1616" w:right="1394" w:firstLine="348"/>
        <w:jc w:val="both"/>
      </w:pPr>
      <w:r>
        <w:rPr/>
        <w:t>Prihodi od komunalnog doprinosa ostvareni su u prvom polugodištu 2014. godine u iznosu od 134.707,28 kn, prihodi od komunalne naknade ostvareni su u iznosu </w:t>
      </w:r>
      <w:r>
        <w:rPr>
          <w:spacing w:val="-6"/>
        </w:rPr>
        <w:t>od </w:t>
      </w:r>
      <w:r>
        <w:rPr/>
        <w:t>387.844,25 kn, a prihodi od naknade za priključenje ostvareni su u iznosu od 7.853,00 kn. U odnosu na prethodnu godinu, prihodi od komunalnog doprinosa manji su za 8,63%, prihodi od komunalne naknade manji su za 28,95%, a prihodi od naknade za priključenje su također manji za</w:t>
      </w:r>
      <w:r>
        <w:rPr>
          <w:spacing w:val="59"/>
        </w:rPr>
        <w:t> </w:t>
      </w:r>
      <w:r>
        <w:rPr/>
        <w:t>54,89%.</w:t>
      </w:r>
    </w:p>
    <w:p>
      <w:pPr>
        <w:pStyle w:val="BodyText"/>
        <w:spacing w:before="2"/>
      </w:pPr>
    </w:p>
    <w:p>
      <w:pPr>
        <w:pStyle w:val="ListParagraph"/>
        <w:numPr>
          <w:ilvl w:val="0"/>
          <w:numId w:val="3"/>
        </w:numPr>
        <w:tabs>
          <w:tab w:pos="1684" w:val="left" w:leader="none"/>
        </w:tabs>
        <w:spacing w:line="240" w:lineRule="auto" w:before="0" w:after="0"/>
        <w:ind w:left="1616" w:right="1391" w:hanging="360"/>
        <w:jc w:val="both"/>
        <w:rPr>
          <w:sz w:val="24"/>
        </w:rPr>
      </w:pPr>
      <w:r>
        <w:rPr/>
        <w:tab/>
      </w:r>
      <w:r>
        <w:rPr>
          <w:b/>
          <w:i/>
          <w:sz w:val="24"/>
          <w:u w:val="thick"/>
        </w:rPr>
        <w:t>Prihodi od prodaje proizvoda i roba te pruženih usluga i prihodi od donacija</w:t>
      </w:r>
      <w:r>
        <w:rPr>
          <w:b/>
          <w:i/>
          <w:sz w:val="24"/>
        </w:rPr>
        <w:t> </w:t>
      </w:r>
      <w:r>
        <w:rPr>
          <w:sz w:val="24"/>
        </w:rPr>
        <w:t>– čine 7,83% ukupno ostvarenih prihoda. Ostvareni su u iznosu od 584.509,00 kn te njihovo ostvarenje premašuje plan za 8,70%. Odnose se na prihode proračunskih korisnika koji su u sustavu riznice: Gradske knjižnice i čitaonice I.Belostenca, Zavičajnog muzeja Ozalj i Dječjeg vrtića i jaslica</w:t>
      </w:r>
      <w:r>
        <w:rPr>
          <w:spacing w:val="-4"/>
          <w:sz w:val="24"/>
        </w:rPr>
        <w:t> </w:t>
      </w:r>
      <w:r>
        <w:rPr>
          <w:sz w:val="24"/>
        </w:rPr>
        <w:t>„Zvončić“.</w:t>
      </w:r>
    </w:p>
    <w:p>
      <w:pPr>
        <w:pStyle w:val="BodyText"/>
        <w:ind w:left="1616" w:right="1393"/>
        <w:jc w:val="both"/>
      </w:pPr>
      <w:r>
        <w:rPr/>
        <w:t>Gradska knjižnica i čitaonica I.Belostenca je u prvom polugodištu 2014. godine ostvarila prihode od članarina u iznosu od 1.920,00 kn. Zavičajni muzej Ozalj je od prodaje ulaznica ostvario prihode u iznosu od 19.990,00 kn, te od prodaje promidžbenih materijala prihode u iznosu od 6.550,00 kn. Prihodi Dječjeg vrtića „Zvončić“ su prvoj polovici  2014. godine iznosili 532.424,00 kn (redovna djelatnost: 508.124,00 kn, donacije: 24.300,00 kn). U odnosu na isto razdoblje prošle godine, prihodi svih proračunskih korisnika su</w:t>
      </w:r>
      <w:r>
        <w:rPr>
          <w:spacing w:val="-2"/>
        </w:rPr>
        <w:t> </w:t>
      </w:r>
      <w:r>
        <w:rPr/>
        <w:t>uvećani.</w:t>
      </w:r>
    </w:p>
    <w:p>
      <w:pPr>
        <w:pStyle w:val="ListParagraph"/>
        <w:numPr>
          <w:ilvl w:val="0"/>
          <w:numId w:val="3"/>
        </w:numPr>
        <w:tabs>
          <w:tab w:pos="1964" w:val="left" w:leader="none"/>
        </w:tabs>
        <w:spacing w:line="237" w:lineRule="auto" w:before="1" w:after="0"/>
        <w:ind w:left="1256" w:right="1399" w:firstLine="0"/>
        <w:jc w:val="both"/>
        <w:rPr>
          <w:sz w:val="24"/>
        </w:rPr>
      </w:pPr>
      <w:r>
        <w:rPr>
          <w:b/>
          <w:i/>
          <w:sz w:val="24"/>
          <w:u w:val="thick"/>
        </w:rPr>
        <w:t>Prihodi po osnovi kazni i upravnih mjera</w:t>
      </w:r>
      <w:r>
        <w:rPr>
          <w:b/>
          <w:i/>
          <w:sz w:val="24"/>
        </w:rPr>
        <w:t> </w:t>
      </w:r>
      <w:r>
        <w:rPr>
          <w:b/>
          <w:i/>
          <w:sz w:val="24"/>
          <w:u w:val="thick"/>
        </w:rPr>
        <w:t>-</w:t>
      </w:r>
      <w:r>
        <w:rPr>
          <w:b/>
          <w:i/>
          <w:sz w:val="24"/>
        </w:rPr>
        <w:t> </w:t>
      </w:r>
      <w:r>
        <w:rPr>
          <w:sz w:val="24"/>
        </w:rPr>
        <w:t>ostvareni su iznosu od 200,00 kn, a isto  se odnosi na naplatu kazne za nepropisno odlaganje</w:t>
      </w:r>
      <w:r>
        <w:rPr>
          <w:spacing w:val="-3"/>
          <w:sz w:val="24"/>
        </w:rPr>
        <w:t> </w:t>
      </w:r>
      <w:r>
        <w:rPr>
          <w:sz w:val="24"/>
        </w:rPr>
        <w:t>otpada</w:t>
      </w:r>
    </w:p>
    <w:p>
      <w:pPr>
        <w:pStyle w:val="BodyText"/>
      </w:pPr>
    </w:p>
    <w:p>
      <w:pPr>
        <w:pStyle w:val="BodyText"/>
        <w:ind w:left="1256" w:right="1396"/>
        <w:jc w:val="both"/>
      </w:pPr>
      <w:r>
        <w:rPr>
          <w:b/>
        </w:rPr>
        <w:t>Prihodi od prodaje nefinancijske imovine - </w:t>
      </w:r>
      <w:r>
        <w:rPr/>
        <w:t>ostvareni su u iznosu od 27.581,07 kn što je za 8,14% više od ostvarenja iste vrste prihoda u prvom pologodištu 2013. godine. U odnosu na godišnji plan, ostvarenje iznosi 30,99%. Ostvareni prihodi se u cjelosti odnose na prihode po osnovi prodaje stanova sa stanarskim pravom, a udio predmetnih prihoda u ukupnim prihodima ostvarenim u prvoj polovici 2014. godine iznosi 0,37%.</w:t>
      </w:r>
    </w:p>
    <w:p>
      <w:pPr>
        <w:pStyle w:val="BodyText"/>
      </w:pPr>
    </w:p>
    <w:p>
      <w:pPr>
        <w:pStyle w:val="BodyText"/>
        <w:spacing w:before="1" w:after="13"/>
        <w:ind w:left="689" w:right="606"/>
      </w:pPr>
      <w:r>
        <w:rPr/>
        <w:t>U nastavku se daje grafički prikaz prihoda/ primitaka ostvarenih u prvom polugodištu 2014. godine, u odnosu na isto izvještajno razdoblje prethodne godine, te u odnosu na godišnji plan za 2014. godinu:</w:t>
      </w:r>
    </w:p>
    <w:p>
      <w:pPr>
        <w:pStyle w:val="BodyText"/>
        <w:ind w:left="272"/>
        <w:rPr>
          <w:sz w:val="20"/>
        </w:rPr>
      </w:pPr>
      <w:r>
        <w:rPr>
          <w:sz w:val="20"/>
        </w:rPr>
        <w:drawing>
          <wp:inline distT="0" distB="0" distL="0" distR="0">
            <wp:extent cx="6903720" cy="2663952"/>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14" cstate="print"/>
                    <a:stretch>
                      <a:fillRect/>
                    </a:stretch>
                  </pic:blipFill>
                  <pic:spPr>
                    <a:xfrm>
                      <a:off x="0" y="0"/>
                      <a:ext cx="6903720" cy="2663952"/>
                    </a:xfrm>
                    <a:prstGeom prst="rect">
                      <a:avLst/>
                    </a:prstGeom>
                  </pic:spPr>
                </pic:pic>
              </a:graphicData>
            </a:graphic>
          </wp:inline>
        </w:drawing>
      </w:r>
      <w:r>
        <w:rPr>
          <w:sz w:val="20"/>
        </w:rPr>
      </w:r>
    </w:p>
    <w:p>
      <w:pPr>
        <w:spacing w:after="0"/>
        <w:rPr>
          <w:sz w:val="20"/>
        </w:rPr>
        <w:sectPr>
          <w:pgSz w:w="11910" w:h="16840"/>
          <w:pgMar w:header="0" w:footer="769" w:top="900" w:bottom="980" w:left="160" w:right="20"/>
        </w:sectPr>
      </w:pPr>
    </w:p>
    <w:tbl>
      <w:tblPr>
        <w:tblW w:w="0" w:type="auto"/>
        <w:jc w:val="left"/>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4860"/>
        <w:gridCol w:w="1802"/>
        <w:gridCol w:w="1843"/>
        <w:gridCol w:w="1797"/>
      </w:tblGrid>
      <w:tr>
        <w:trPr>
          <w:trHeight w:val="366" w:hRule="atLeast"/>
        </w:trPr>
        <w:tc>
          <w:tcPr>
            <w:tcW w:w="569" w:type="dxa"/>
          </w:tcPr>
          <w:p>
            <w:pPr>
              <w:pStyle w:val="TableParagraph"/>
              <w:spacing w:before="0"/>
              <w:jc w:val="left"/>
              <w:rPr>
                <w:rFonts w:ascii="Times New Roman"/>
                <w:sz w:val="22"/>
              </w:rPr>
            </w:pPr>
          </w:p>
        </w:tc>
        <w:tc>
          <w:tcPr>
            <w:tcW w:w="4860" w:type="dxa"/>
          </w:tcPr>
          <w:p>
            <w:pPr>
              <w:pStyle w:val="TableParagraph"/>
              <w:spacing w:line="190" w:lineRule="exact" w:before="156"/>
              <w:ind w:left="107"/>
              <w:jc w:val="left"/>
              <w:rPr>
                <w:rFonts w:ascii="Times New Roman"/>
                <w:b/>
                <w:sz w:val="18"/>
              </w:rPr>
            </w:pPr>
            <w:r>
              <w:rPr>
                <w:rFonts w:ascii="Times New Roman"/>
                <w:b/>
                <w:sz w:val="18"/>
              </w:rPr>
              <w:t>VRSTA PRIHODA</w:t>
            </w:r>
          </w:p>
        </w:tc>
        <w:tc>
          <w:tcPr>
            <w:tcW w:w="1802" w:type="dxa"/>
            <w:shd w:val="clear" w:color="auto" w:fill="4174B1"/>
          </w:tcPr>
          <w:p>
            <w:pPr>
              <w:pStyle w:val="TableParagraph"/>
              <w:spacing w:line="177" w:lineRule="exact" w:before="0"/>
              <w:ind w:left="107"/>
              <w:jc w:val="left"/>
              <w:rPr>
                <w:rFonts w:ascii="Times New Roman"/>
                <w:b/>
                <w:sz w:val="16"/>
              </w:rPr>
            </w:pPr>
            <w:r>
              <w:rPr>
                <w:rFonts w:ascii="Times New Roman"/>
                <w:b/>
                <w:sz w:val="16"/>
              </w:rPr>
              <w:t>OSTVARENO 01.01.-</w:t>
            </w:r>
          </w:p>
          <w:p>
            <w:pPr>
              <w:pStyle w:val="TableParagraph"/>
              <w:spacing w:line="169" w:lineRule="exact" w:before="0"/>
              <w:ind w:left="107"/>
              <w:jc w:val="left"/>
              <w:rPr>
                <w:rFonts w:ascii="Times New Roman"/>
                <w:b/>
                <w:sz w:val="16"/>
              </w:rPr>
            </w:pPr>
            <w:r>
              <w:rPr>
                <w:rFonts w:ascii="Times New Roman"/>
                <w:b/>
                <w:sz w:val="16"/>
              </w:rPr>
              <w:t>30.06.2013.</w:t>
            </w:r>
          </w:p>
        </w:tc>
        <w:tc>
          <w:tcPr>
            <w:tcW w:w="1843" w:type="dxa"/>
            <w:shd w:val="clear" w:color="auto" w:fill="C6D9F1"/>
          </w:tcPr>
          <w:p>
            <w:pPr>
              <w:pStyle w:val="TableParagraph"/>
              <w:spacing w:line="177" w:lineRule="exact" w:before="0"/>
              <w:ind w:left="108"/>
              <w:jc w:val="left"/>
              <w:rPr>
                <w:rFonts w:ascii="Times New Roman"/>
                <w:b/>
                <w:sz w:val="16"/>
              </w:rPr>
            </w:pPr>
            <w:r>
              <w:rPr>
                <w:rFonts w:ascii="Times New Roman"/>
                <w:b/>
                <w:sz w:val="16"/>
              </w:rPr>
              <w:t>PLAN ZA 2014.</w:t>
            </w:r>
          </w:p>
          <w:p>
            <w:pPr>
              <w:pStyle w:val="TableParagraph"/>
              <w:spacing w:line="169" w:lineRule="exact" w:before="0"/>
              <w:ind w:left="108"/>
              <w:jc w:val="left"/>
              <w:rPr>
                <w:rFonts w:ascii="Times New Roman"/>
                <w:b/>
                <w:sz w:val="16"/>
              </w:rPr>
            </w:pPr>
            <w:r>
              <w:rPr>
                <w:rFonts w:ascii="Times New Roman"/>
                <w:b/>
                <w:sz w:val="16"/>
              </w:rPr>
              <w:t>GODINU</w:t>
            </w:r>
          </w:p>
        </w:tc>
        <w:tc>
          <w:tcPr>
            <w:tcW w:w="1797" w:type="dxa"/>
            <w:shd w:val="clear" w:color="auto" w:fill="548DD4"/>
          </w:tcPr>
          <w:p>
            <w:pPr>
              <w:pStyle w:val="TableParagraph"/>
              <w:spacing w:line="177" w:lineRule="exact" w:before="0"/>
              <w:ind w:left="108"/>
              <w:jc w:val="left"/>
              <w:rPr>
                <w:rFonts w:ascii="Times New Roman"/>
                <w:b/>
                <w:sz w:val="16"/>
              </w:rPr>
            </w:pPr>
            <w:r>
              <w:rPr>
                <w:rFonts w:ascii="Times New Roman"/>
                <w:b/>
                <w:sz w:val="16"/>
              </w:rPr>
              <w:t>OSTVARENO 01.01.-</w:t>
            </w:r>
          </w:p>
          <w:p>
            <w:pPr>
              <w:pStyle w:val="TableParagraph"/>
              <w:spacing w:line="169" w:lineRule="exact" w:before="0"/>
              <w:ind w:left="108"/>
              <w:jc w:val="left"/>
              <w:rPr>
                <w:rFonts w:ascii="Times New Roman"/>
                <w:b/>
                <w:sz w:val="16"/>
              </w:rPr>
            </w:pPr>
            <w:r>
              <w:rPr>
                <w:rFonts w:ascii="Times New Roman"/>
                <w:b/>
                <w:sz w:val="16"/>
              </w:rPr>
              <w:t>30.06.2014.</w:t>
            </w:r>
          </w:p>
        </w:tc>
      </w:tr>
      <w:tr>
        <w:trPr>
          <w:trHeight w:val="208" w:hRule="atLeast"/>
        </w:trPr>
        <w:tc>
          <w:tcPr>
            <w:tcW w:w="569" w:type="dxa"/>
          </w:tcPr>
          <w:p>
            <w:pPr>
              <w:pStyle w:val="TableParagraph"/>
              <w:spacing w:line="174" w:lineRule="exact" w:before="14"/>
              <w:ind w:left="110"/>
              <w:jc w:val="left"/>
              <w:rPr>
                <w:rFonts w:ascii="Times New Roman"/>
                <w:sz w:val="16"/>
              </w:rPr>
            </w:pPr>
            <w:r>
              <w:rPr>
                <w:rFonts w:ascii="Times New Roman"/>
                <w:sz w:val="16"/>
              </w:rPr>
              <w:t>61</w:t>
            </w:r>
          </w:p>
        </w:tc>
        <w:tc>
          <w:tcPr>
            <w:tcW w:w="4860" w:type="dxa"/>
          </w:tcPr>
          <w:p>
            <w:pPr>
              <w:pStyle w:val="TableParagraph"/>
              <w:spacing w:line="188" w:lineRule="exact" w:before="0"/>
              <w:ind w:left="107"/>
              <w:jc w:val="left"/>
              <w:rPr>
                <w:rFonts w:ascii="Times New Roman"/>
                <w:sz w:val="18"/>
              </w:rPr>
            </w:pPr>
            <w:r>
              <w:rPr>
                <w:rFonts w:ascii="Times New Roman"/>
                <w:sz w:val="18"/>
              </w:rPr>
              <w:t>Prihodi od poreza</w:t>
            </w:r>
          </w:p>
        </w:tc>
        <w:tc>
          <w:tcPr>
            <w:tcW w:w="1802" w:type="dxa"/>
          </w:tcPr>
          <w:p>
            <w:pPr>
              <w:pStyle w:val="TableParagraph"/>
              <w:spacing w:line="188" w:lineRule="exact" w:before="0"/>
              <w:ind w:right="95"/>
              <w:rPr>
                <w:rFonts w:ascii="Times New Roman"/>
                <w:sz w:val="18"/>
              </w:rPr>
            </w:pPr>
            <w:r>
              <w:rPr>
                <w:rFonts w:ascii="Times New Roman"/>
                <w:sz w:val="18"/>
              </w:rPr>
              <w:t>4.391.776,16</w:t>
            </w:r>
          </w:p>
        </w:tc>
        <w:tc>
          <w:tcPr>
            <w:tcW w:w="1843" w:type="dxa"/>
          </w:tcPr>
          <w:p>
            <w:pPr>
              <w:pStyle w:val="TableParagraph"/>
              <w:spacing w:line="188" w:lineRule="exact" w:before="0"/>
              <w:ind w:right="95"/>
              <w:rPr>
                <w:rFonts w:ascii="Times New Roman"/>
                <w:sz w:val="18"/>
              </w:rPr>
            </w:pPr>
            <w:r>
              <w:rPr>
                <w:rFonts w:ascii="Times New Roman"/>
                <w:sz w:val="18"/>
              </w:rPr>
              <w:t>10.411.000,00</w:t>
            </w:r>
          </w:p>
        </w:tc>
        <w:tc>
          <w:tcPr>
            <w:tcW w:w="1797" w:type="dxa"/>
          </w:tcPr>
          <w:p>
            <w:pPr>
              <w:pStyle w:val="TableParagraph"/>
              <w:spacing w:line="188" w:lineRule="exact" w:before="0"/>
              <w:ind w:right="95"/>
              <w:rPr>
                <w:rFonts w:ascii="Times New Roman"/>
                <w:sz w:val="18"/>
              </w:rPr>
            </w:pPr>
            <w:r>
              <w:rPr>
                <w:rFonts w:ascii="Times New Roman"/>
                <w:sz w:val="18"/>
              </w:rPr>
              <w:t>5.181.520,83</w:t>
            </w:r>
          </w:p>
        </w:tc>
      </w:tr>
      <w:tr>
        <w:trPr>
          <w:trHeight w:val="206" w:hRule="atLeast"/>
        </w:trPr>
        <w:tc>
          <w:tcPr>
            <w:tcW w:w="569" w:type="dxa"/>
          </w:tcPr>
          <w:p>
            <w:pPr>
              <w:pStyle w:val="TableParagraph"/>
              <w:spacing w:line="174" w:lineRule="exact" w:before="11"/>
              <w:ind w:left="110"/>
              <w:jc w:val="left"/>
              <w:rPr>
                <w:rFonts w:ascii="Times New Roman"/>
                <w:sz w:val="16"/>
              </w:rPr>
            </w:pPr>
            <w:r>
              <w:rPr>
                <w:rFonts w:ascii="Times New Roman"/>
                <w:sz w:val="16"/>
              </w:rPr>
              <w:t>63</w:t>
            </w:r>
          </w:p>
        </w:tc>
        <w:tc>
          <w:tcPr>
            <w:tcW w:w="4860" w:type="dxa"/>
          </w:tcPr>
          <w:p>
            <w:pPr>
              <w:pStyle w:val="TableParagraph"/>
              <w:spacing w:line="186" w:lineRule="exact" w:before="0"/>
              <w:ind w:left="107"/>
              <w:jc w:val="left"/>
              <w:rPr>
                <w:rFonts w:ascii="Times New Roman" w:hAnsi="Times New Roman"/>
                <w:sz w:val="18"/>
              </w:rPr>
            </w:pPr>
            <w:r>
              <w:rPr>
                <w:rFonts w:ascii="Times New Roman" w:hAnsi="Times New Roman"/>
                <w:sz w:val="18"/>
              </w:rPr>
              <w:t>Pomoći iz inozemstva i od subjekata unutar opće države</w:t>
            </w:r>
          </w:p>
        </w:tc>
        <w:tc>
          <w:tcPr>
            <w:tcW w:w="1802" w:type="dxa"/>
          </w:tcPr>
          <w:p>
            <w:pPr>
              <w:pStyle w:val="TableParagraph"/>
              <w:spacing w:line="186" w:lineRule="exact" w:before="0"/>
              <w:ind w:right="94"/>
              <w:rPr>
                <w:rFonts w:ascii="Times New Roman"/>
                <w:sz w:val="18"/>
              </w:rPr>
            </w:pPr>
            <w:r>
              <w:rPr>
                <w:rFonts w:ascii="Times New Roman"/>
                <w:sz w:val="18"/>
              </w:rPr>
              <w:t>250.650,17</w:t>
            </w:r>
          </w:p>
        </w:tc>
        <w:tc>
          <w:tcPr>
            <w:tcW w:w="1843" w:type="dxa"/>
          </w:tcPr>
          <w:p>
            <w:pPr>
              <w:pStyle w:val="TableParagraph"/>
              <w:spacing w:line="186" w:lineRule="exact" w:before="0"/>
              <w:ind w:right="93"/>
              <w:rPr>
                <w:rFonts w:ascii="Times New Roman"/>
                <w:sz w:val="18"/>
              </w:rPr>
            </w:pPr>
            <w:r>
              <w:rPr>
                <w:rFonts w:ascii="Times New Roman"/>
                <w:sz w:val="18"/>
              </w:rPr>
              <w:t>1.592.000,00</w:t>
            </w:r>
          </w:p>
        </w:tc>
        <w:tc>
          <w:tcPr>
            <w:tcW w:w="1797" w:type="dxa"/>
          </w:tcPr>
          <w:p>
            <w:pPr>
              <w:pStyle w:val="TableParagraph"/>
              <w:spacing w:line="186" w:lineRule="exact" w:before="0"/>
              <w:ind w:right="94"/>
              <w:rPr>
                <w:rFonts w:ascii="Times New Roman"/>
                <w:sz w:val="18"/>
              </w:rPr>
            </w:pPr>
            <w:r>
              <w:rPr>
                <w:rFonts w:ascii="Times New Roman"/>
                <w:sz w:val="18"/>
              </w:rPr>
              <w:t>183.170,00</w:t>
            </w:r>
          </w:p>
        </w:tc>
      </w:tr>
      <w:tr>
        <w:trPr>
          <w:trHeight w:val="205" w:hRule="atLeast"/>
        </w:trPr>
        <w:tc>
          <w:tcPr>
            <w:tcW w:w="569" w:type="dxa"/>
          </w:tcPr>
          <w:p>
            <w:pPr>
              <w:pStyle w:val="TableParagraph"/>
              <w:spacing w:line="172" w:lineRule="exact" w:before="14"/>
              <w:ind w:left="110"/>
              <w:jc w:val="left"/>
              <w:rPr>
                <w:rFonts w:ascii="Times New Roman"/>
                <w:sz w:val="16"/>
              </w:rPr>
            </w:pPr>
            <w:r>
              <w:rPr>
                <w:rFonts w:ascii="Times New Roman"/>
                <w:sz w:val="16"/>
              </w:rPr>
              <w:t>64</w:t>
            </w:r>
          </w:p>
        </w:tc>
        <w:tc>
          <w:tcPr>
            <w:tcW w:w="4860" w:type="dxa"/>
          </w:tcPr>
          <w:p>
            <w:pPr>
              <w:pStyle w:val="TableParagraph"/>
              <w:spacing w:line="186" w:lineRule="exact" w:before="0"/>
              <w:ind w:left="107"/>
              <w:jc w:val="left"/>
              <w:rPr>
                <w:rFonts w:ascii="Times New Roman"/>
                <w:sz w:val="18"/>
              </w:rPr>
            </w:pPr>
            <w:r>
              <w:rPr>
                <w:rFonts w:ascii="Times New Roman"/>
                <w:sz w:val="18"/>
              </w:rPr>
              <w:t>Prihodi od imovine</w:t>
            </w:r>
          </w:p>
        </w:tc>
        <w:tc>
          <w:tcPr>
            <w:tcW w:w="1802" w:type="dxa"/>
          </w:tcPr>
          <w:p>
            <w:pPr>
              <w:pStyle w:val="TableParagraph"/>
              <w:spacing w:line="186" w:lineRule="exact" w:before="0"/>
              <w:ind w:right="94"/>
              <w:rPr>
                <w:rFonts w:ascii="Times New Roman"/>
                <w:sz w:val="18"/>
              </w:rPr>
            </w:pPr>
            <w:r>
              <w:rPr>
                <w:rFonts w:ascii="Times New Roman"/>
                <w:sz w:val="18"/>
              </w:rPr>
              <w:t>124.404,70</w:t>
            </w:r>
          </w:p>
        </w:tc>
        <w:tc>
          <w:tcPr>
            <w:tcW w:w="1843" w:type="dxa"/>
          </w:tcPr>
          <w:p>
            <w:pPr>
              <w:pStyle w:val="TableParagraph"/>
              <w:spacing w:line="186" w:lineRule="exact" w:before="0"/>
              <w:ind w:right="94"/>
              <w:rPr>
                <w:rFonts w:ascii="Times New Roman"/>
                <w:sz w:val="18"/>
              </w:rPr>
            </w:pPr>
            <w:r>
              <w:rPr>
                <w:rFonts w:ascii="Times New Roman"/>
                <w:sz w:val="18"/>
              </w:rPr>
              <w:t>350.000,00</w:t>
            </w:r>
          </w:p>
        </w:tc>
        <w:tc>
          <w:tcPr>
            <w:tcW w:w="1797" w:type="dxa"/>
          </w:tcPr>
          <w:p>
            <w:pPr>
              <w:pStyle w:val="TableParagraph"/>
              <w:spacing w:line="186" w:lineRule="exact" w:before="0"/>
              <w:ind w:right="94"/>
              <w:rPr>
                <w:rFonts w:ascii="Times New Roman"/>
                <w:sz w:val="18"/>
              </w:rPr>
            </w:pPr>
            <w:r>
              <w:rPr>
                <w:rFonts w:ascii="Times New Roman"/>
                <w:sz w:val="18"/>
              </w:rPr>
              <w:t>287.228,30</w:t>
            </w:r>
          </w:p>
        </w:tc>
      </w:tr>
      <w:tr>
        <w:trPr>
          <w:trHeight w:val="208" w:hRule="atLeast"/>
        </w:trPr>
        <w:tc>
          <w:tcPr>
            <w:tcW w:w="569" w:type="dxa"/>
          </w:tcPr>
          <w:p>
            <w:pPr>
              <w:pStyle w:val="TableParagraph"/>
              <w:spacing w:line="174" w:lineRule="exact" w:before="14"/>
              <w:ind w:left="110"/>
              <w:jc w:val="left"/>
              <w:rPr>
                <w:rFonts w:ascii="Times New Roman"/>
                <w:sz w:val="16"/>
              </w:rPr>
            </w:pPr>
            <w:r>
              <w:rPr>
                <w:rFonts w:ascii="Times New Roman"/>
                <w:sz w:val="16"/>
              </w:rPr>
              <w:t>65</w:t>
            </w:r>
          </w:p>
        </w:tc>
        <w:tc>
          <w:tcPr>
            <w:tcW w:w="4860" w:type="dxa"/>
          </w:tcPr>
          <w:p>
            <w:pPr>
              <w:pStyle w:val="TableParagraph"/>
              <w:spacing w:line="188" w:lineRule="exact" w:before="0"/>
              <w:ind w:left="107"/>
              <w:jc w:val="left"/>
              <w:rPr>
                <w:rFonts w:ascii="Times New Roman"/>
                <w:sz w:val="18"/>
              </w:rPr>
            </w:pPr>
            <w:r>
              <w:rPr>
                <w:rFonts w:ascii="Times New Roman"/>
                <w:sz w:val="18"/>
              </w:rPr>
              <w:t>Prihodi od administr. pristojbi i po posebnim propisima</w:t>
            </w:r>
          </w:p>
        </w:tc>
        <w:tc>
          <w:tcPr>
            <w:tcW w:w="1802" w:type="dxa"/>
          </w:tcPr>
          <w:p>
            <w:pPr>
              <w:pStyle w:val="TableParagraph"/>
              <w:spacing w:line="188" w:lineRule="exact" w:before="0"/>
              <w:ind w:right="94"/>
              <w:rPr>
                <w:rFonts w:ascii="Times New Roman"/>
                <w:sz w:val="18"/>
              </w:rPr>
            </w:pPr>
            <w:r>
              <w:rPr>
                <w:rFonts w:ascii="Times New Roman"/>
                <w:sz w:val="18"/>
              </w:rPr>
              <w:t>967.430,48</w:t>
            </w:r>
          </w:p>
        </w:tc>
        <w:tc>
          <w:tcPr>
            <w:tcW w:w="1843" w:type="dxa"/>
          </w:tcPr>
          <w:p>
            <w:pPr>
              <w:pStyle w:val="TableParagraph"/>
              <w:spacing w:line="188" w:lineRule="exact" w:before="0"/>
              <w:ind w:right="93"/>
              <w:rPr>
                <w:rFonts w:ascii="Times New Roman"/>
                <w:sz w:val="18"/>
              </w:rPr>
            </w:pPr>
            <w:r>
              <w:rPr>
                <w:rFonts w:ascii="Times New Roman"/>
                <w:sz w:val="18"/>
              </w:rPr>
              <w:t>2.625.000,00</w:t>
            </w:r>
          </w:p>
        </w:tc>
        <w:tc>
          <w:tcPr>
            <w:tcW w:w="1797" w:type="dxa"/>
          </w:tcPr>
          <w:p>
            <w:pPr>
              <w:pStyle w:val="TableParagraph"/>
              <w:spacing w:line="188" w:lineRule="exact" w:before="0"/>
              <w:ind w:right="95"/>
              <w:rPr>
                <w:rFonts w:ascii="Times New Roman"/>
                <w:sz w:val="18"/>
              </w:rPr>
            </w:pPr>
            <w:r>
              <w:rPr>
                <w:rFonts w:ascii="Times New Roman"/>
                <w:sz w:val="18"/>
              </w:rPr>
              <w:t>1.197.785,73</w:t>
            </w:r>
          </w:p>
        </w:tc>
      </w:tr>
      <w:tr>
        <w:trPr>
          <w:trHeight w:val="206" w:hRule="atLeast"/>
        </w:trPr>
        <w:tc>
          <w:tcPr>
            <w:tcW w:w="569" w:type="dxa"/>
          </w:tcPr>
          <w:p>
            <w:pPr>
              <w:pStyle w:val="TableParagraph"/>
              <w:spacing w:line="172" w:lineRule="exact" w:before="14"/>
              <w:ind w:left="110"/>
              <w:jc w:val="left"/>
              <w:rPr>
                <w:rFonts w:ascii="Times New Roman"/>
                <w:sz w:val="16"/>
              </w:rPr>
            </w:pPr>
            <w:r>
              <w:rPr>
                <w:rFonts w:ascii="Times New Roman"/>
                <w:sz w:val="16"/>
              </w:rPr>
              <w:t>66</w:t>
            </w:r>
          </w:p>
        </w:tc>
        <w:tc>
          <w:tcPr>
            <w:tcW w:w="4860" w:type="dxa"/>
          </w:tcPr>
          <w:p>
            <w:pPr>
              <w:pStyle w:val="TableParagraph"/>
              <w:spacing w:line="186" w:lineRule="exact" w:before="0"/>
              <w:ind w:left="107"/>
              <w:jc w:val="left"/>
              <w:rPr>
                <w:rFonts w:ascii="Times New Roman" w:hAnsi="Times New Roman"/>
                <w:sz w:val="18"/>
              </w:rPr>
            </w:pPr>
            <w:r>
              <w:rPr>
                <w:rFonts w:ascii="Times New Roman" w:hAnsi="Times New Roman"/>
                <w:sz w:val="18"/>
              </w:rPr>
              <w:t>Prihodi od prodaje proizvoda te pruženih usluga</w:t>
            </w:r>
          </w:p>
        </w:tc>
        <w:tc>
          <w:tcPr>
            <w:tcW w:w="1802" w:type="dxa"/>
          </w:tcPr>
          <w:p>
            <w:pPr>
              <w:pStyle w:val="TableParagraph"/>
              <w:spacing w:line="186" w:lineRule="exact" w:before="0"/>
              <w:ind w:right="94"/>
              <w:rPr>
                <w:rFonts w:ascii="Times New Roman"/>
                <w:sz w:val="18"/>
              </w:rPr>
            </w:pPr>
            <w:r>
              <w:rPr>
                <w:rFonts w:ascii="Times New Roman"/>
                <w:sz w:val="18"/>
              </w:rPr>
              <w:t>537.735,00</w:t>
            </w:r>
          </w:p>
        </w:tc>
        <w:tc>
          <w:tcPr>
            <w:tcW w:w="1843" w:type="dxa"/>
          </w:tcPr>
          <w:p>
            <w:pPr>
              <w:pStyle w:val="TableParagraph"/>
              <w:spacing w:line="186" w:lineRule="exact" w:before="0"/>
              <w:ind w:right="93"/>
              <w:rPr>
                <w:rFonts w:ascii="Times New Roman"/>
                <w:sz w:val="18"/>
              </w:rPr>
            </w:pPr>
            <w:r>
              <w:rPr>
                <w:rFonts w:ascii="Times New Roman"/>
                <w:sz w:val="18"/>
              </w:rPr>
              <w:t>1.133.000,00</w:t>
            </w:r>
          </w:p>
        </w:tc>
        <w:tc>
          <w:tcPr>
            <w:tcW w:w="1797" w:type="dxa"/>
          </w:tcPr>
          <w:p>
            <w:pPr>
              <w:pStyle w:val="TableParagraph"/>
              <w:spacing w:line="186" w:lineRule="exact" w:before="0"/>
              <w:ind w:right="94"/>
              <w:rPr>
                <w:rFonts w:ascii="Times New Roman"/>
                <w:sz w:val="18"/>
              </w:rPr>
            </w:pPr>
            <w:r>
              <w:rPr>
                <w:rFonts w:ascii="Times New Roman"/>
                <w:sz w:val="18"/>
              </w:rPr>
              <w:t>584.509,00</w:t>
            </w:r>
          </w:p>
        </w:tc>
      </w:tr>
      <w:tr>
        <w:trPr>
          <w:trHeight w:val="208" w:hRule="atLeast"/>
        </w:trPr>
        <w:tc>
          <w:tcPr>
            <w:tcW w:w="569" w:type="dxa"/>
          </w:tcPr>
          <w:p>
            <w:pPr>
              <w:pStyle w:val="TableParagraph"/>
              <w:spacing w:line="174" w:lineRule="exact" w:before="14"/>
              <w:ind w:left="110"/>
              <w:jc w:val="left"/>
              <w:rPr>
                <w:rFonts w:ascii="Times New Roman"/>
                <w:sz w:val="16"/>
              </w:rPr>
            </w:pPr>
            <w:r>
              <w:rPr>
                <w:rFonts w:ascii="Times New Roman"/>
                <w:sz w:val="16"/>
              </w:rPr>
              <w:t>71</w:t>
            </w:r>
          </w:p>
        </w:tc>
        <w:tc>
          <w:tcPr>
            <w:tcW w:w="4860" w:type="dxa"/>
          </w:tcPr>
          <w:p>
            <w:pPr>
              <w:pStyle w:val="TableParagraph"/>
              <w:spacing w:line="188" w:lineRule="exact" w:before="0"/>
              <w:ind w:left="107"/>
              <w:jc w:val="left"/>
              <w:rPr>
                <w:rFonts w:ascii="Times New Roman"/>
                <w:sz w:val="18"/>
              </w:rPr>
            </w:pPr>
            <w:r>
              <w:rPr>
                <w:rFonts w:ascii="Times New Roman"/>
                <w:sz w:val="18"/>
              </w:rPr>
              <w:t>Prihodi od prodaje neproizvedene imovine</w:t>
            </w:r>
          </w:p>
        </w:tc>
        <w:tc>
          <w:tcPr>
            <w:tcW w:w="1802" w:type="dxa"/>
          </w:tcPr>
          <w:p>
            <w:pPr>
              <w:pStyle w:val="TableParagraph"/>
              <w:spacing w:line="188" w:lineRule="exact" w:before="0"/>
              <w:ind w:right="95"/>
              <w:rPr>
                <w:rFonts w:ascii="Times New Roman"/>
                <w:sz w:val="18"/>
              </w:rPr>
            </w:pPr>
            <w:r>
              <w:rPr>
                <w:rFonts w:ascii="Times New Roman"/>
                <w:sz w:val="18"/>
              </w:rPr>
              <w:t>0,00</w:t>
            </w:r>
          </w:p>
        </w:tc>
        <w:tc>
          <w:tcPr>
            <w:tcW w:w="1843" w:type="dxa"/>
          </w:tcPr>
          <w:p>
            <w:pPr>
              <w:pStyle w:val="TableParagraph"/>
              <w:spacing w:line="188" w:lineRule="exact" w:before="0"/>
              <w:ind w:right="94"/>
              <w:rPr>
                <w:rFonts w:ascii="Times New Roman"/>
                <w:sz w:val="18"/>
              </w:rPr>
            </w:pPr>
            <w:r>
              <w:rPr>
                <w:rFonts w:ascii="Times New Roman"/>
                <w:sz w:val="18"/>
              </w:rPr>
              <w:t>1.000,00</w:t>
            </w:r>
          </w:p>
        </w:tc>
        <w:tc>
          <w:tcPr>
            <w:tcW w:w="1797" w:type="dxa"/>
          </w:tcPr>
          <w:p>
            <w:pPr>
              <w:pStyle w:val="TableParagraph"/>
              <w:spacing w:line="188" w:lineRule="exact" w:before="0"/>
              <w:ind w:right="92"/>
              <w:rPr>
                <w:rFonts w:ascii="Times New Roman"/>
                <w:sz w:val="18"/>
              </w:rPr>
            </w:pPr>
            <w:r>
              <w:rPr>
                <w:rFonts w:ascii="Times New Roman"/>
                <w:sz w:val="18"/>
              </w:rPr>
              <w:t>200,00</w:t>
            </w:r>
          </w:p>
        </w:tc>
      </w:tr>
      <w:tr>
        <w:trPr>
          <w:trHeight w:val="206" w:hRule="atLeast"/>
        </w:trPr>
        <w:tc>
          <w:tcPr>
            <w:tcW w:w="569" w:type="dxa"/>
          </w:tcPr>
          <w:p>
            <w:pPr>
              <w:pStyle w:val="TableParagraph"/>
              <w:spacing w:line="174" w:lineRule="exact" w:before="12"/>
              <w:ind w:left="110"/>
              <w:jc w:val="left"/>
              <w:rPr>
                <w:rFonts w:ascii="Times New Roman"/>
                <w:sz w:val="16"/>
              </w:rPr>
            </w:pPr>
            <w:r>
              <w:rPr>
                <w:rFonts w:ascii="Times New Roman"/>
                <w:sz w:val="16"/>
              </w:rPr>
              <w:t>72</w:t>
            </w:r>
          </w:p>
        </w:tc>
        <w:tc>
          <w:tcPr>
            <w:tcW w:w="4860" w:type="dxa"/>
          </w:tcPr>
          <w:p>
            <w:pPr>
              <w:pStyle w:val="TableParagraph"/>
              <w:spacing w:line="186" w:lineRule="exact" w:before="0"/>
              <w:ind w:left="107"/>
              <w:jc w:val="left"/>
              <w:rPr>
                <w:rFonts w:ascii="Times New Roman"/>
                <w:sz w:val="18"/>
              </w:rPr>
            </w:pPr>
            <w:r>
              <w:rPr>
                <w:rFonts w:ascii="Times New Roman"/>
                <w:sz w:val="18"/>
              </w:rPr>
              <w:t>Prihodi od prodaje proizvedene dugotrajne imovine</w:t>
            </w:r>
          </w:p>
        </w:tc>
        <w:tc>
          <w:tcPr>
            <w:tcW w:w="1802" w:type="dxa"/>
          </w:tcPr>
          <w:p>
            <w:pPr>
              <w:pStyle w:val="TableParagraph"/>
              <w:spacing w:line="186" w:lineRule="exact" w:before="0"/>
              <w:ind w:right="93"/>
              <w:rPr>
                <w:rFonts w:ascii="Times New Roman"/>
                <w:sz w:val="18"/>
              </w:rPr>
            </w:pPr>
            <w:r>
              <w:rPr>
                <w:rFonts w:ascii="Times New Roman"/>
                <w:sz w:val="18"/>
              </w:rPr>
              <w:t>11.549,00</w:t>
            </w:r>
          </w:p>
        </w:tc>
        <w:tc>
          <w:tcPr>
            <w:tcW w:w="1843" w:type="dxa"/>
          </w:tcPr>
          <w:p>
            <w:pPr>
              <w:pStyle w:val="TableParagraph"/>
              <w:spacing w:line="186" w:lineRule="exact" w:before="0"/>
              <w:ind w:right="95"/>
              <w:rPr>
                <w:rFonts w:ascii="Times New Roman"/>
                <w:sz w:val="18"/>
              </w:rPr>
            </w:pPr>
            <w:r>
              <w:rPr>
                <w:rFonts w:ascii="Times New Roman"/>
                <w:sz w:val="18"/>
              </w:rPr>
              <w:t>59.000,00</w:t>
            </w:r>
          </w:p>
        </w:tc>
        <w:tc>
          <w:tcPr>
            <w:tcW w:w="1797" w:type="dxa"/>
          </w:tcPr>
          <w:p>
            <w:pPr>
              <w:pStyle w:val="TableParagraph"/>
              <w:spacing w:line="186" w:lineRule="exact" w:before="0"/>
              <w:ind w:right="94"/>
              <w:rPr>
                <w:rFonts w:ascii="Times New Roman"/>
                <w:sz w:val="18"/>
              </w:rPr>
            </w:pPr>
            <w:r>
              <w:rPr>
                <w:rFonts w:ascii="Times New Roman"/>
                <w:sz w:val="18"/>
              </w:rPr>
              <w:t>0,00</w:t>
            </w:r>
          </w:p>
        </w:tc>
      </w:tr>
      <w:tr>
        <w:trPr>
          <w:trHeight w:val="208" w:hRule="atLeast"/>
        </w:trPr>
        <w:tc>
          <w:tcPr>
            <w:tcW w:w="569" w:type="dxa"/>
          </w:tcPr>
          <w:p>
            <w:pPr>
              <w:pStyle w:val="TableParagraph"/>
              <w:spacing w:line="174" w:lineRule="exact" w:before="14"/>
              <w:ind w:left="110"/>
              <w:jc w:val="left"/>
              <w:rPr>
                <w:rFonts w:ascii="Times New Roman"/>
                <w:sz w:val="16"/>
              </w:rPr>
            </w:pPr>
            <w:r>
              <w:rPr>
                <w:rFonts w:ascii="Times New Roman"/>
                <w:sz w:val="16"/>
              </w:rPr>
              <w:t>68</w:t>
            </w:r>
          </w:p>
        </w:tc>
        <w:tc>
          <w:tcPr>
            <w:tcW w:w="4860" w:type="dxa"/>
          </w:tcPr>
          <w:p>
            <w:pPr>
              <w:pStyle w:val="TableParagraph"/>
              <w:spacing w:line="188" w:lineRule="exact" w:before="0"/>
              <w:ind w:left="107"/>
              <w:jc w:val="left"/>
              <w:rPr>
                <w:rFonts w:ascii="Times New Roman"/>
                <w:sz w:val="18"/>
              </w:rPr>
            </w:pPr>
            <w:r>
              <w:rPr>
                <w:rFonts w:ascii="Times New Roman"/>
                <w:sz w:val="18"/>
              </w:rPr>
              <w:t>Kazne, upravne mjere i ostali prihodi</w:t>
            </w:r>
          </w:p>
        </w:tc>
        <w:tc>
          <w:tcPr>
            <w:tcW w:w="1802" w:type="dxa"/>
          </w:tcPr>
          <w:p>
            <w:pPr>
              <w:pStyle w:val="TableParagraph"/>
              <w:spacing w:line="188" w:lineRule="exact" w:before="0"/>
              <w:ind w:right="93"/>
              <w:rPr>
                <w:rFonts w:ascii="Times New Roman"/>
                <w:sz w:val="18"/>
              </w:rPr>
            </w:pPr>
            <w:r>
              <w:rPr>
                <w:rFonts w:ascii="Times New Roman"/>
                <w:sz w:val="18"/>
              </w:rPr>
              <w:t>13.956,71</w:t>
            </w:r>
          </w:p>
        </w:tc>
        <w:tc>
          <w:tcPr>
            <w:tcW w:w="1843" w:type="dxa"/>
          </w:tcPr>
          <w:p>
            <w:pPr>
              <w:pStyle w:val="TableParagraph"/>
              <w:spacing w:line="188" w:lineRule="exact" w:before="0"/>
              <w:ind w:right="95"/>
              <w:rPr>
                <w:rFonts w:ascii="Times New Roman"/>
                <w:sz w:val="18"/>
              </w:rPr>
            </w:pPr>
            <w:r>
              <w:rPr>
                <w:rFonts w:ascii="Times New Roman"/>
                <w:sz w:val="18"/>
              </w:rPr>
              <w:t>30.000,00</w:t>
            </w:r>
          </w:p>
        </w:tc>
        <w:tc>
          <w:tcPr>
            <w:tcW w:w="1797" w:type="dxa"/>
          </w:tcPr>
          <w:p>
            <w:pPr>
              <w:pStyle w:val="TableParagraph"/>
              <w:spacing w:line="188" w:lineRule="exact" w:before="0"/>
              <w:ind w:right="92"/>
              <w:rPr>
                <w:rFonts w:ascii="Times New Roman"/>
                <w:sz w:val="18"/>
              </w:rPr>
            </w:pPr>
            <w:r>
              <w:rPr>
                <w:rFonts w:ascii="Times New Roman"/>
                <w:sz w:val="18"/>
              </w:rPr>
              <w:t>27.581,07</w:t>
            </w:r>
          </w:p>
        </w:tc>
      </w:tr>
      <w:tr>
        <w:trPr>
          <w:trHeight w:val="205" w:hRule="atLeast"/>
        </w:trPr>
        <w:tc>
          <w:tcPr>
            <w:tcW w:w="569" w:type="dxa"/>
          </w:tcPr>
          <w:p>
            <w:pPr>
              <w:pStyle w:val="TableParagraph"/>
              <w:spacing w:before="0"/>
              <w:jc w:val="left"/>
              <w:rPr>
                <w:rFonts w:ascii="Times New Roman"/>
                <w:sz w:val="14"/>
              </w:rPr>
            </w:pPr>
          </w:p>
        </w:tc>
        <w:tc>
          <w:tcPr>
            <w:tcW w:w="4860" w:type="dxa"/>
          </w:tcPr>
          <w:p>
            <w:pPr>
              <w:pStyle w:val="TableParagraph"/>
              <w:spacing w:line="186" w:lineRule="exact" w:before="0"/>
              <w:ind w:left="107"/>
              <w:jc w:val="left"/>
              <w:rPr>
                <w:rFonts w:ascii="Times New Roman"/>
                <w:b/>
                <w:sz w:val="18"/>
              </w:rPr>
            </w:pPr>
            <w:r>
              <w:rPr>
                <w:rFonts w:ascii="Times New Roman"/>
                <w:b/>
                <w:sz w:val="18"/>
              </w:rPr>
              <w:t>UKUPNO:</w:t>
            </w:r>
          </w:p>
        </w:tc>
        <w:tc>
          <w:tcPr>
            <w:tcW w:w="1802" w:type="dxa"/>
          </w:tcPr>
          <w:p>
            <w:pPr>
              <w:pStyle w:val="TableParagraph"/>
              <w:spacing w:line="186" w:lineRule="exact" w:before="0"/>
              <w:ind w:right="95"/>
              <w:rPr>
                <w:rFonts w:ascii="Times New Roman"/>
                <w:sz w:val="18"/>
              </w:rPr>
            </w:pPr>
            <w:r>
              <w:rPr>
                <w:rFonts w:ascii="Times New Roman"/>
                <w:sz w:val="18"/>
              </w:rPr>
              <w:t>0,00</w:t>
            </w:r>
          </w:p>
        </w:tc>
        <w:tc>
          <w:tcPr>
            <w:tcW w:w="1843" w:type="dxa"/>
          </w:tcPr>
          <w:p>
            <w:pPr>
              <w:pStyle w:val="TableParagraph"/>
              <w:spacing w:line="186" w:lineRule="exact" w:before="0"/>
              <w:ind w:right="93"/>
              <w:rPr>
                <w:rFonts w:ascii="Times New Roman"/>
                <w:sz w:val="18"/>
              </w:rPr>
            </w:pPr>
            <w:r>
              <w:rPr>
                <w:rFonts w:ascii="Times New Roman"/>
                <w:sz w:val="18"/>
              </w:rPr>
              <w:t>5.500.000,00</w:t>
            </w:r>
          </w:p>
        </w:tc>
        <w:tc>
          <w:tcPr>
            <w:tcW w:w="1797" w:type="dxa"/>
          </w:tcPr>
          <w:p>
            <w:pPr>
              <w:pStyle w:val="TableParagraph"/>
              <w:spacing w:line="186" w:lineRule="exact" w:before="0"/>
              <w:ind w:right="94"/>
              <w:rPr>
                <w:rFonts w:ascii="Times New Roman"/>
                <w:sz w:val="18"/>
              </w:rPr>
            </w:pPr>
            <w:r>
              <w:rPr>
                <w:rFonts w:ascii="Times New Roman"/>
                <w:sz w:val="18"/>
              </w:rPr>
              <w:t>0,00</w:t>
            </w:r>
          </w:p>
        </w:tc>
      </w:tr>
    </w:tbl>
    <w:p>
      <w:pPr>
        <w:pStyle w:val="BodyText"/>
        <w:spacing w:before="2"/>
        <w:rPr>
          <w:sz w:val="15"/>
        </w:rPr>
      </w:pPr>
    </w:p>
    <w:p>
      <w:pPr>
        <w:pStyle w:val="Heading1"/>
        <w:spacing w:before="93"/>
        <w:ind w:firstLine="0"/>
        <w:jc w:val="both"/>
        <w:rPr>
          <w:rFonts w:ascii="Arial" w:hAnsi="Arial"/>
        </w:rPr>
      </w:pPr>
      <w:r>
        <w:rPr>
          <w:rFonts w:ascii="Arial" w:hAnsi="Arial"/>
        </w:rPr>
        <w:t>RASHODI I IZDACI U PRVOM POLUGODIŠTU 2014. GODINE</w:t>
      </w:r>
    </w:p>
    <w:p>
      <w:pPr>
        <w:pStyle w:val="BodyText"/>
        <w:spacing w:before="7"/>
        <w:rPr>
          <w:rFonts w:ascii="Arial"/>
          <w:b/>
          <w:sz w:val="23"/>
        </w:rPr>
      </w:pPr>
    </w:p>
    <w:p>
      <w:pPr>
        <w:pStyle w:val="BodyText"/>
        <w:spacing w:before="1"/>
        <w:ind w:left="1539" w:right="606" w:hanging="992"/>
      </w:pPr>
      <w:r>
        <w:rPr/>
        <w:t>Tabela br.3: Pregled planiranih i ostvarenih rashoda/izdataka Proračuna Grada Ozlja u prvom polugodištu 2014. godine, u odnosu na ostvarenje u istom izvještajnom razdoblju prethodne godine, te u odnosu na godišnji plan za 2014. godinu:</w:t>
      </w:r>
    </w:p>
    <w:p>
      <w:pPr>
        <w:pStyle w:val="BodyText"/>
        <w:spacing w:before="7" w:after="1"/>
      </w:pPr>
    </w:p>
    <w:tbl>
      <w:tblPr>
        <w:tblW w:w="0" w:type="auto"/>
        <w:jc w:val="left"/>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
        <w:gridCol w:w="3247"/>
        <w:gridCol w:w="1557"/>
        <w:gridCol w:w="1600"/>
        <w:gridCol w:w="1658"/>
        <w:gridCol w:w="756"/>
        <w:gridCol w:w="749"/>
        <w:gridCol w:w="792"/>
      </w:tblGrid>
      <w:tr>
        <w:trPr>
          <w:trHeight w:val="520" w:hRule="atLeast"/>
        </w:trPr>
        <w:tc>
          <w:tcPr>
            <w:tcW w:w="439" w:type="dxa"/>
            <w:shd w:val="clear" w:color="auto" w:fill="DBE5F1"/>
          </w:tcPr>
          <w:p>
            <w:pPr>
              <w:pStyle w:val="TableParagraph"/>
              <w:spacing w:line="250" w:lineRule="atLeast" w:before="8"/>
              <w:ind w:left="127" w:right="52" w:hanging="51"/>
              <w:jc w:val="left"/>
              <w:rPr>
                <w:rFonts w:ascii="Times New Roman"/>
                <w:sz w:val="22"/>
              </w:rPr>
            </w:pPr>
            <w:r>
              <w:rPr>
                <w:rFonts w:ascii="Times New Roman"/>
                <w:sz w:val="22"/>
              </w:rPr>
              <w:t>red br</w:t>
            </w:r>
          </w:p>
        </w:tc>
        <w:tc>
          <w:tcPr>
            <w:tcW w:w="3247" w:type="dxa"/>
            <w:shd w:val="clear" w:color="auto" w:fill="DBE5F1"/>
          </w:tcPr>
          <w:p>
            <w:pPr>
              <w:pStyle w:val="TableParagraph"/>
              <w:spacing w:before="9"/>
              <w:jc w:val="left"/>
              <w:rPr>
                <w:rFonts w:ascii="Times New Roman"/>
                <w:sz w:val="22"/>
              </w:rPr>
            </w:pPr>
          </w:p>
          <w:p>
            <w:pPr>
              <w:pStyle w:val="TableParagraph"/>
              <w:spacing w:line="238" w:lineRule="exact" w:before="0"/>
              <w:ind w:left="1363" w:right="1356"/>
              <w:jc w:val="center"/>
              <w:rPr>
                <w:rFonts w:ascii="Times New Roman"/>
                <w:sz w:val="22"/>
              </w:rPr>
            </w:pPr>
            <w:r>
              <w:rPr>
                <w:rFonts w:ascii="Times New Roman"/>
                <w:sz w:val="22"/>
              </w:rPr>
              <w:t>OPIS</w:t>
            </w:r>
          </w:p>
        </w:tc>
        <w:tc>
          <w:tcPr>
            <w:tcW w:w="1557" w:type="dxa"/>
            <w:shd w:val="clear" w:color="auto" w:fill="DBE5F1"/>
          </w:tcPr>
          <w:p>
            <w:pPr>
              <w:pStyle w:val="TableParagraph"/>
              <w:spacing w:before="8"/>
              <w:ind w:left="98"/>
              <w:jc w:val="left"/>
              <w:rPr>
                <w:rFonts w:ascii="Times New Roman" w:hAnsi="Times New Roman"/>
                <w:sz w:val="22"/>
              </w:rPr>
            </w:pPr>
            <w:r>
              <w:rPr>
                <w:rFonts w:ascii="Times New Roman" w:hAnsi="Times New Roman"/>
                <w:sz w:val="22"/>
              </w:rPr>
              <w:t>Izvršenje 1.1.-</w:t>
            </w:r>
          </w:p>
          <w:p>
            <w:pPr>
              <w:pStyle w:val="TableParagraph"/>
              <w:spacing w:line="238" w:lineRule="exact" w:before="1"/>
              <w:ind w:left="209"/>
              <w:jc w:val="left"/>
              <w:rPr>
                <w:rFonts w:ascii="Times New Roman"/>
                <w:sz w:val="22"/>
              </w:rPr>
            </w:pPr>
            <w:r>
              <w:rPr>
                <w:rFonts w:ascii="Times New Roman"/>
                <w:sz w:val="22"/>
              </w:rPr>
              <w:t>30.06.2013.</w:t>
            </w:r>
          </w:p>
        </w:tc>
        <w:tc>
          <w:tcPr>
            <w:tcW w:w="1600" w:type="dxa"/>
            <w:shd w:val="clear" w:color="auto" w:fill="DBE5F1"/>
          </w:tcPr>
          <w:p>
            <w:pPr>
              <w:pStyle w:val="TableParagraph"/>
              <w:spacing w:line="250" w:lineRule="atLeast" w:before="8"/>
              <w:ind w:left="447" w:right="222" w:hanging="291"/>
              <w:jc w:val="left"/>
              <w:rPr>
                <w:rFonts w:ascii="Times New Roman"/>
                <w:sz w:val="22"/>
              </w:rPr>
            </w:pPr>
            <w:r>
              <w:rPr>
                <w:rFonts w:ascii="Times New Roman"/>
                <w:sz w:val="22"/>
              </w:rPr>
              <w:t>Plan za 2014. godinu</w:t>
            </w:r>
          </w:p>
        </w:tc>
        <w:tc>
          <w:tcPr>
            <w:tcW w:w="1658" w:type="dxa"/>
            <w:shd w:val="clear" w:color="auto" w:fill="DBE5F1"/>
          </w:tcPr>
          <w:p>
            <w:pPr>
              <w:pStyle w:val="TableParagraph"/>
              <w:spacing w:before="8"/>
              <w:ind w:left="69" w:right="54"/>
              <w:jc w:val="center"/>
              <w:rPr>
                <w:rFonts w:ascii="Times New Roman" w:hAnsi="Times New Roman"/>
                <w:sz w:val="22"/>
              </w:rPr>
            </w:pPr>
            <w:r>
              <w:rPr>
                <w:rFonts w:ascii="Times New Roman" w:hAnsi="Times New Roman"/>
                <w:sz w:val="22"/>
              </w:rPr>
              <w:t>Izvršenje 01.01.-</w:t>
            </w:r>
          </w:p>
          <w:p>
            <w:pPr>
              <w:pStyle w:val="TableParagraph"/>
              <w:spacing w:line="238" w:lineRule="exact" w:before="1"/>
              <w:ind w:left="69" w:right="53"/>
              <w:jc w:val="center"/>
              <w:rPr>
                <w:rFonts w:ascii="Times New Roman"/>
                <w:sz w:val="22"/>
              </w:rPr>
            </w:pPr>
            <w:r>
              <w:rPr>
                <w:rFonts w:ascii="Times New Roman"/>
                <w:sz w:val="22"/>
              </w:rPr>
              <w:t>30.06.2014.</w:t>
            </w:r>
          </w:p>
        </w:tc>
        <w:tc>
          <w:tcPr>
            <w:tcW w:w="756" w:type="dxa"/>
            <w:shd w:val="clear" w:color="auto" w:fill="DBE5F1"/>
          </w:tcPr>
          <w:p>
            <w:pPr>
              <w:pStyle w:val="TableParagraph"/>
              <w:spacing w:line="250" w:lineRule="atLeast" w:before="8"/>
              <w:ind w:left="179" w:right="112" w:hanging="152"/>
              <w:jc w:val="left"/>
              <w:rPr>
                <w:rFonts w:ascii="Times New Roman"/>
                <w:sz w:val="22"/>
              </w:rPr>
            </w:pPr>
            <w:r>
              <w:rPr>
                <w:rFonts w:ascii="Times New Roman"/>
                <w:sz w:val="22"/>
              </w:rPr>
              <w:t>Indeks 5/3</w:t>
            </w:r>
          </w:p>
        </w:tc>
        <w:tc>
          <w:tcPr>
            <w:tcW w:w="749" w:type="dxa"/>
            <w:shd w:val="clear" w:color="auto" w:fill="DBE5F1"/>
          </w:tcPr>
          <w:p>
            <w:pPr>
              <w:pStyle w:val="TableParagraph"/>
              <w:spacing w:line="250" w:lineRule="atLeast" w:before="8"/>
              <w:ind w:left="177" w:right="107" w:hanging="152"/>
              <w:jc w:val="left"/>
              <w:rPr>
                <w:rFonts w:ascii="Times New Roman"/>
                <w:sz w:val="22"/>
              </w:rPr>
            </w:pPr>
            <w:r>
              <w:rPr>
                <w:rFonts w:ascii="Times New Roman"/>
                <w:sz w:val="22"/>
              </w:rPr>
              <w:t>Indeks 5/4</w:t>
            </w:r>
          </w:p>
        </w:tc>
        <w:tc>
          <w:tcPr>
            <w:tcW w:w="792" w:type="dxa"/>
            <w:shd w:val="clear" w:color="auto" w:fill="DBE5F1"/>
          </w:tcPr>
          <w:p>
            <w:pPr>
              <w:pStyle w:val="TableParagraph"/>
              <w:spacing w:line="250" w:lineRule="atLeast" w:before="8"/>
              <w:ind w:left="179" w:right="225" w:hanging="34"/>
              <w:jc w:val="left"/>
              <w:rPr>
                <w:rFonts w:ascii="Times New Roman"/>
                <w:sz w:val="22"/>
              </w:rPr>
            </w:pPr>
            <w:r>
              <w:rPr>
                <w:rFonts w:ascii="Times New Roman"/>
                <w:sz w:val="22"/>
              </w:rPr>
              <w:t>udio (%)</w:t>
            </w:r>
          </w:p>
        </w:tc>
      </w:tr>
      <w:tr>
        <w:trPr>
          <w:trHeight w:val="270" w:hRule="atLeast"/>
        </w:trPr>
        <w:tc>
          <w:tcPr>
            <w:tcW w:w="439" w:type="dxa"/>
          </w:tcPr>
          <w:p>
            <w:pPr>
              <w:pStyle w:val="TableParagraph"/>
              <w:spacing w:line="168" w:lineRule="exact" w:before="83"/>
              <w:ind w:left="10"/>
              <w:jc w:val="center"/>
              <w:rPr>
                <w:rFonts w:ascii="Times New Roman"/>
                <w:b/>
                <w:sz w:val="16"/>
              </w:rPr>
            </w:pPr>
            <w:r>
              <w:rPr>
                <w:rFonts w:ascii="Times New Roman"/>
                <w:b/>
                <w:w w:val="100"/>
                <w:sz w:val="16"/>
              </w:rPr>
              <w:t>1</w:t>
            </w:r>
          </w:p>
        </w:tc>
        <w:tc>
          <w:tcPr>
            <w:tcW w:w="3247" w:type="dxa"/>
          </w:tcPr>
          <w:p>
            <w:pPr>
              <w:pStyle w:val="TableParagraph"/>
              <w:spacing w:line="168" w:lineRule="exact" w:before="83"/>
              <w:ind w:left="11"/>
              <w:jc w:val="center"/>
              <w:rPr>
                <w:rFonts w:ascii="Times New Roman"/>
                <w:b/>
                <w:sz w:val="16"/>
              </w:rPr>
            </w:pPr>
            <w:r>
              <w:rPr>
                <w:rFonts w:ascii="Times New Roman"/>
                <w:b/>
                <w:w w:val="100"/>
                <w:sz w:val="16"/>
              </w:rPr>
              <w:t>2</w:t>
            </w:r>
          </w:p>
        </w:tc>
        <w:tc>
          <w:tcPr>
            <w:tcW w:w="1557" w:type="dxa"/>
          </w:tcPr>
          <w:p>
            <w:pPr>
              <w:pStyle w:val="TableParagraph"/>
              <w:spacing w:line="168" w:lineRule="exact" w:before="83"/>
              <w:ind w:right="81"/>
              <w:jc w:val="center"/>
              <w:rPr>
                <w:rFonts w:ascii="Times New Roman"/>
                <w:b/>
                <w:sz w:val="16"/>
              </w:rPr>
            </w:pPr>
            <w:r>
              <w:rPr>
                <w:rFonts w:ascii="Times New Roman"/>
                <w:b/>
                <w:w w:val="100"/>
                <w:sz w:val="16"/>
              </w:rPr>
              <w:t>3</w:t>
            </w:r>
          </w:p>
        </w:tc>
        <w:tc>
          <w:tcPr>
            <w:tcW w:w="1600" w:type="dxa"/>
          </w:tcPr>
          <w:p>
            <w:pPr>
              <w:pStyle w:val="TableParagraph"/>
              <w:spacing w:line="168" w:lineRule="exact" w:before="83"/>
              <w:ind w:right="80"/>
              <w:jc w:val="center"/>
              <w:rPr>
                <w:rFonts w:ascii="Times New Roman"/>
                <w:b/>
                <w:sz w:val="16"/>
              </w:rPr>
            </w:pPr>
            <w:r>
              <w:rPr>
                <w:rFonts w:ascii="Times New Roman"/>
                <w:b/>
                <w:w w:val="100"/>
                <w:sz w:val="16"/>
              </w:rPr>
              <w:t>4</w:t>
            </w:r>
          </w:p>
        </w:tc>
        <w:tc>
          <w:tcPr>
            <w:tcW w:w="1658" w:type="dxa"/>
          </w:tcPr>
          <w:p>
            <w:pPr>
              <w:pStyle w:val="TableParagraph"/>
              <w:spacing w:line="168" w:lineRule="exact" w:before="83"/>
              <w:ind w:right="184"/>
              <w:jc w:val="center"/>
              <w:rPr>
                <w:rFonts w:ascii="Times New Roman"/>
                <w:b/>
                <w:sz w:val="16"/>
              </w:rPr>
            </w:pPr>
            <w:r>
              <w:rPr>
                <w:rFonts w:ascii="Times New Roman"/>
                <w:b/>
                <w:w w:val="100"/>
                <w:sz w:val="16"/>
              </w:rPr>
              <w:t>5</w:t>
            </w:r>
          </w:p>
        </w:tc>
        <w:tc>
          <w:tcPr>
            <w:tcW w:w="756" w:type="dxa"/>
          </w:tcPr>
          <w:p>
            <w:pPr>
              <w:pStyle w:val="TableParagraph"/>
              <w:spacing w:line="168" w:lineRule="exact" w:before="83"/>
              <w:ind w:right="102"/>
              <w:jc w:val="center"/>
              <w:rPr>
                <w:rFonts w:ascii="Times New Roman"/>
                <w:b/>
                <w:sz w:val="16"/>
              </w:rPr>
            </w:pPr>
            <w:r>
              <w:rPr>
                <w:rFonts w:ascii="Times New Roman"/>
                <w:b/>
                <w:w w:val="100"/>
                <w:sz w:val="16"/>
              </w:rPr>
              <w:t>6</w:t>
            </w:r>
          </w:p>
        </w:tc>
        <w:tc>
          <w:tcPr>
            <w:tcW w:w="749" w:type="dxa"/>
          </w:tcPr>
          <w:p>
            <w:pPr>
              <w:pStyle w:val="TableParagraph"/>
              <w:spacing w:line="168" w:lineRule="exact" w:before="83"/>
              <w:ind w:right="100"/>
              <w:jc w:val="center"/>
              <w:rPr>
                <w:rFonts w:ascii="Times New Roman"/>
                <w:b/>
                <w:sz w:val="16"/>
              </w:rPr>
            </w:pPr>
            <w:r>
              <w:rPr>
                <w:rFonts w:ascii="Times New Roman"/>
                <w:b/>
                <w:w w:val="100"/>
                <w:sz w:val="16"/>
              </w:rPr>
              <w:t>7</w:t>
            </w:r>
          </w:p>
        </w:tc>
        <w:tc>
          <w:tcPr>
            <w:tcW w:w="792" w:type="dxa"/>
          </w:tcPr>
          <w:p>
            <w:pPr>
              <w:pStyle w:val="TableParagraph"/>
              <w:spacing w:line="168" w:lineRule="exact" w:before="83"/>
              <w:ind w:right="91"/>
              <w:jc w:val="center"/>
              <w:rPr>
                <w:rFonts w:ascii="Times New Roman"/>
                <w:b/>
                <w:sz w:val="16"/>
              </w:rPr>
            </w:pPr>
            <w:r>
              <w:rPr>
                <w:rFonts w:ascii="Times New Roman"/>
                <w:b/>
                <w:w w:val="100"/>
                <w:sz w:val="16"/>
              </w:rPr>
              <w:t>8</w:t>
            </w:r>
          </w:p>
        </w:tc>
      </w:tr>
      <w:tr>
        <w:trPr>
          <w:trHeight w:val="270" w:hRule="atLeast"/>
        </w:trPr>
        <w:tc>
          <w:tcPr>
            <w:tcW w:w="439" w:type="dxa"/>
          </w:tcPr>
          <w:p>
            <w:pPr>
              <w:pStyle w:val="TableParagraph"/>
              <w:spacing w:line="236" w:lineRule="exact" w:before="15"/>
              <w:ind w:left="14"/>
              <w:jc w:val="left"/>
              <w:rPr>
                <w:rFonts w:ascii="Times New Roman"/>
                <w:b/>
                <w:sz w:val="22"/>
              </w:rPr>
            </w:pPr>
            <w:r>
              <w:rPr>
                <w:rFonts w:ascii="Times New Roman"/>
                <w:b/>
                <w:sz w:val="22"/>
              </w:rPr>
              <w:t>1.</w:t>
            </w:r>
          </w:p>
        </w:tc>
        <w:tc>
          <w:tcPr>
            <w:tcW w:w="3247" w:type="dxa"/>
          </w:tcPr>
          <w:p>
            <w:pPr>
              <w:pStyle w:val="TableParagraph"/>
              <w:spacing w:line="236" w:lineRule="exact" w:before="15"/>
              <w:ind w:left="16"/>
              <w:jc w:val="left"/>
              <w:rPr>
                <w:rFonts w:ascii="Times New Roman"/>
                <w:b/>
                <w:sz w:val="22"/>
              </w:rPr>
            </w:pPr>
            <w:r>
              <w:rPr>
                <w:rFonts w:ascii="Times New Roman"/>
                <w:b/>
                <w:sz w:val="22"/>
              </w:rPr>
              <w:t>RASHODI POSLOVANJA</w:t>
            </w:r>
          </w:p>
        </w:tc>
        <w:tc>
          <w:tcPr>
            <w:tcW w:w="1557" w:type="dxa"/>
          </w:tcPr>
          <w:p>
            <w:pPr>
              <w:pStyle w:val="TableParagraph"/>
              <w:spacing w:line="236" w:lineRule="exact" w:before="15"/>
              <w:ind w:right="97"/>
              <w:rPr>
                <w:rFonts w:ascii="Times New Roman"/>
                <w:b/>
                <w:sz w:val="22"/>
              </w:rPr>
            </w:pPr>
            <w:r>
              <w:rPr>
                <w:rFonts w:ascii="Times New Roman"/>
                <w:b/>
                <w:sz w:val="22"/>
              </w:rPr>
              <w:t>5.624.343,05</w:t>
            </w:r>
          </w:p>
        </w:tc>
        <w:tc>
          <w:tcPr>
            <w:tcW w:w="1600" w:type="dxa"/>
          </w:tcPr>
          <w:p>
            <w:pPr>
              <w:pStyle w:val="TableParagraph"/>
              <w:spacing w:line="236" w:lineRule="exact" w:before="15"/>
              <w:ind w:right="96"/>
              <w:rPr>
                <w:rFonts w:ascii="Times New Roman"/>
                <w:b/>
                <w:sz w:val="22"/>
              </w:rPr>
            </w:pPr>
            <w:r>
              <w:rPr>
                <w:rFonts w:ascii="Times New Roman"/>
                <w:b/>
                <w:sz w:val="22"/>
              </w:rPr>
              <w:t>12.503.660,87</w:t>
            </w:r>
          </w:p>
        </w:tc>
        <w:tc>
          <w:tcPr>
            <w:tcW w:w="1658" w:type="dxa"/>
          </w:tcPr>
          <w:p>
            <w:pPr>
              <w:pStyle w:val="TableParagraph"/>
              <w:spacing w:line="236" w:lineRule="exact" w:before="15"/>
              <w:ind w:right="197"/>
              <w:rPr>
                <w:rFonts w:ascii="Times New Roman"/>
                <w:b/>
                <w:sz w:val="22"/>
              </w:rPr>
            </w:pPr>
            <w:r>
              <w:rPr>
                <w:rFonts w:ascii="Times New Roman"/>
                <w:b/>
                <w:sz w:val="22"/>
              </w:rPr>
              <w:t>5.373.775,76</w:t>
            </w:r>
          </w:p>
        </w:tc>
        <w:tc>
          <w:tcPr>
            <w:tcW w:w="756" w:type="dxa"/>
          </w:tcPr>
          <w:p>
            <w:pPr>
              <w:pStyle w:val="TableParagraph"/>
              <w:spacing w:line="236" w:lineRule="exact" w:before="15"/>
              <w:ind w:right="118"/>
              <w:rPr>
                <w:rFonts w:ascii="Times New Roman"/>
                <w:b/>
                <w:sz w:val="22"/>
              </w:rPr>
            </w:pPr>
            <w:r>
              <w:rPr>
                <w:rFonts w:ascii="Times New Roman"/>
                <w:b/>
                <w:sz w:val="22"/>
              </w:rPr>
              <w:t>95,54</w:t>
            </w:r>
          </w:p>
        </w:tc>
        <w:tc>
          <w:tcPr>
            <w:tcW w:w="749" w:type="dxa"/>
          </w:tcPr>
          <w:p>
            <w:pPr>
              <w:pStyle w:val="TableParagraph"/>
              <w:spacing w:line="236" w:lineRule="exact" w:before="15"/>
              <w:ind w:right="115"/>
              <w:rPr>
                <w:rFonts w:ascii="Times New Roman"/>
                <w:b/>
                <w:sz w:val="22"/>
              </w:rPr>
            </w:pPr>
            <w:r>
              <w:rPr>
                <w:rFonts w:ascii="Times New Roman"/>
                <w:b/>
                <w:sz w:val="22"/>
              </w:rPr>
              <w:t>42,98</w:t>
            </w:r>
          </w:p>
        </w:tc>
        <w:tc>
          <w:tcPr>
            <w:tcW w:w="792" w:type="dxa"/>
          </w:tcPr>
          <w:p>
            <w:pPr>
              <w:pStyle w:val="TableParagraph"/>
              <w:spacing w:line="236" w:lineRule="exact" w:before="15"/>
              <w:ind w:right="108"/>
              <w:rPr>
                <w:rFonts w:ascii="Times New Roman"/>
                <w:b/>
                <w:sz w:val="22"/>
              </w:rPr>
            </w:pPr>
            <w:r>
              <w:rPr>
                <w:rFonts w:ascii="Times New Roman"/>
                <w:b/>
                <w:sz w:val="22"/>
              </w:rPr>
              <w:t>85,22</w:t>
            </w:r>
          </w:p>
        </w:tc>
      </w:tr>
      <w:tr>
        <w:trPr>
          <w:trHeight w:val="268" w:hRule="atLeast"/>
        </w:trPr>
        <w:tc>
          <w:tcPr>
            <w:tcW w:w="439" w:type="dxa"/>
          </w:tcPr>
          <w:p>
            <w:pPr>
              <w:pStyle w:val="TableParagraph"/>
              <w:spacing w:before="0"/>
              <w:jc w:val="left"/>
              <w:rPr>
                <w:rFonts w:ascii="Times New Roman"/>
                <w:sz w:val="18"/>
              </w:rPr>
            </w:pPr>
          </w:p>
        </w:tc>
        <w:tc>
          <w:tcPr>
            <w:tcW w:w="3247" w:type="dxa"/>
          </w:tcPr>
          <w:p>
            <w:pPr>
              <w:pStyle w:val="TableParagraph"/>
              <w:spacing w:line="238" w:lineRule="exact"/>
              <w:ind w:left="16"/>
              <w:jc w:val="left"/>
              <w:rPr>
                <w:rFonts w:ascii="Times New Roman"/>
                <w:sz w:val="22"/>
              </w:rPr>
            </w:pPr>
            <w:r>
              <w:rPr>
                <w:rFonts w:ascii="Times New Roman"/>
                <w:sz w:val="22"/>
              </w:rPr>
              <w:t>Rashodi za zaposlene</w:t>
            </w:r>
          </w:p>
        </w:tc>
        <w:tc>
          <w:tcPr>
            <w:tcW w:w="1557" w:type="dxa"/>
          </w:tcPr>
          <w:p>
            <w:pPr>
              <w:pStyle w:val="TableParagraph"/>
              <w:spacing w:line="240" w:lineRule="exact" w:before="8"/>
              <w:ind w:right="97"/>
              <w:rPr>
                <w:rFonts w:ascii="Times New Roman"/>
                <w:sz w:val="22"/>
              </w:rPr>
            </w:pPr>
            <w:r>
              <w:rPr>
                <w:rFonts w:ascii="Times New Roman"/>
                <w:sz w:val="22"/>
              </w:rPr>
              <w:t>2.052.941,70</w:t>
            </w:r>
          </w:p>
        </w:tc>
        <w:tc>
          <w:tcPr>
            <w:tcW w:w="1600" w:type="dxa"/>
          </w:tcPr>
          <w:p>
            <w:pPr>
              <w:pStyle w:val="TableParagraph"/>
              <w:spacing w:line="240" w:lineRule="exact" w:before="8"/>
              <w:ind w:right="96"/>
              <w:rPr>
                <w:rFonts w:ascii="Times New Roman"/>
                <w:sz w:val="22"/>
              </w:rPr>
            </w:pPr>
            <w:r>
              <w:rPr>
                <w:rFonts w:ascii="Times New Roman"/>
                <w:sz w:val="22"/>
              </w:rPr>
              <w:t>4.462.407,91</w:t>
            </w:r>
          </w:p>
        </w:tc>
        <w:tc>
          <w:tcPr>
            <w:tcW w:w="1658" w:type="dxa"/>
          </w:tcPr>
          <w:p>
            <w:pPr>
              <w:pStyle w:val="TableParagraph"/>
              <w:spacing w:line="240" w:lineRule="exact" w:before="8"/>
              <w:ind w:right="197"/>
              <w:rPr>
                <w:rFonts w:ascii="Times New Roman"/>
                <w:sz w:val="22"/>
              </w:rPr>
            </w:pPr>
            <w:r>
              <w:rPr>
                <w:rFonts w:ascii="Times New Roman"/>
                <w:sz w:val="22"/>
              </w:rPr>
              <w:t>1.940.792,86</w:t>
            </w:r>
          </w:p>
        </w:tc>
        <w:tc>
          <w:tcPr>
            <w:tcW w:w="756" w:type="dxa"/>
          </w:tcPr>
          <w:p>
            <w:pPr>
              <w:pStyle w:val="TableParagraph"/>
              <w:spacing w:line="238" w:lineRule="exact"/>
              <w:ind w:right="118"/>
              <w:rPr>
                <w:rFonts w:ascii="Times New Roman"/>
                <w:sz w:val="22"/>
              </w:rPr>
            </w:pPr>
            <w:r>
              <w:rPr>
                <w:rFonts w:ascii="Times New Roman"/>
                <w:sz w:val="22"/>
              </w:rPr>
              <w:t>94,54</w:t>
            </w:r>
          </w:p>
        </w:tc>
        <w:tc>
          <w:tcPr>
            <w:tcW w:w="749" w:type="dxa"/>
          </w:tcPr>
          <w:p>
            <w:pPr>
              <w:pStyle w:val="TableParagraph"/>
              <w:spacing w:line="238" w:lineRule="exact"/>
              <w:ind w:right="115"/>
              <w:rPr>
                <w:rFonts w:ascii="Times New Roman"/>
                <w:sz w:val="22"/>
              </w:rPr>
            </w:pPr>
            <w:r>
              <w:rPr>
                <w:rFonts w:ascii="Times New Roman"/>
                <w:sz w:val="22"/>
              </w:rPr>
              <w:t>43,49</w:t>
            </w:r>
          </w:p>
        </w:tc>
        <w:tc>
          <w:tcPr>
            <w:tcW w:w="792" w:type="dxa"/>
          </w:tcPr>
          <w:p>
            <w:pPr>
              <w:pStyle w:val="TableParagraph"/>
              <w:spacing w:line="238" w:lineRule="exact"/>
              <w:ind w:right="108"/>
              <w:rPr>
                <w:rFonts w:ascii="Times New Roman"/>
                <w:sz w:val="22"/>
              </w:rPr>
            </w:pPr>
            <w:r>
              <w:rPr>
                <w:rFonts w:ascii="Times New Roman"/>
                <w:sz w:val="22"/>
              </w:rPr>
              <w:t>30,78</w:t>
            </w:r>
          </w:p>
        </w:tc>
      </w:tr>
      <w:tr>
        <w:trPr>
          <w:trHeight w:val="270" w:hRule="atLeast"/>
        </w:trPr>
        <w:tc>
          <w:tcPr>
            <w:tcW w:w="439" w:type="dxa"/>
          </w:tcPr>
          <w:p>
            <w:pPr>
              <w:pStyle w:val="TableParagraph"/>
              <w:spacing w:before="0"/>
              <w:jc w:val="left"/>
              <w:rPr>
                <w:rFonts w:ascii="Times New Roman"/>
                <w:sz w:val="20"/>
              </w:rPr>
            </w:pPr>
          </w:p>
        </w:tc>
        <w:tc>
          <w:tcPr>
            <w:tcW w:w="3247" w:type="dxa"/>
          </w:tcPr>
          <w:p>
            <w:pPr>
              <w:pStyle w:val="TableParagraph"/>
              <w:spacing w:line="238" w:lineRule="exact" w:before="13"/>
              <w:ind w:left="16"/>
              <w:jc w:val="left"/>
              <w:rPr>
                <w:rFonts w:ascii="Times New Roman"/>
                <w:sz w:val="22"/>
              </w:rPr>
            </w:pPr>
            <w:r>
              <w:rPr>
                <w:rFonts w:ascii="Times New Roman"/>
                <w:sz w:val="22"/>
              </w:rPr>
              <w:t>Materijalni rashodi</w:t>
            </w:r>
          </w:p>
        </w:tc>
        <w:tc>
          <w:tcPr>
            <w:tcW w:w="1557" w:type="dxa"/>
          </w:tcPr>
          <w:p>
            <w:pPr>
              <w:pStyle w:val="TableParagraph"/>
              <w:spacing w:line="240" w:lineRule="exact"/>
              <w:ind w:right="97"/>
              <w:rPr>
                <w:rFonts w:ascii="Times New Roman"/>
                <w:sz w:val="22"/>
              </w:rPr>
            </w:pPr>
            <w:r>
              <w:rPr>
                <w:rFonts w:ascii="Times New Roman"/>
                <w:sz w:val="22"/>
              </w:rPr>
              <w:t>2.903.098,73</w:t>
            </w:r>
          </w:p>
        </w:tc>
        <w:tc>
          <w:tcPr>
            <w:tcW w:w="1600" w:type="dxa"/>
          </w:tcPr>
          <w:p>
            <w:pPr>
              <w:pStyle w:val="TableParagraph"/>
              <w:spacing w:line="240" w:lineRule="exact"/>
              <w:ind w:right="96"/>
              <w:rPr>
                <w:rFonts w:ascii="Times New Roman"/>
                <w:sz w:val="22"/>
              </w:rPr>
            </w:pPr>
            <w:r>
              <w:rPr>
                <w:rFonts w:ascii="Times New Roman"/>
                <w:sz w:val="22"/>
              </w:rPr>
              <w:t>5.926.252,96</w:t>
            </w:r>
          </w:p>
        </w:tc>
        <w:tc>
          <w:tcPr>
            <w:tcW w:w="1658" w:type="dxa"/>
          </w:tcPr>
          <w:p>
            <w:pPr>
              <w:pStyle w:val="TableParagraph"/>
              <w:spacing w:line="240" w:lineRule="exact"/>
              <w:ind w:right="197"/>
              <w:rPr>
                <w:rFonts w:ascii="Times New Roman"/>
                <w:sz w:val="22"/>
              </w:rPr>
            </w:pPr>
            <w:r>
              <w:rPr>
                <w:rFonts w:ascii="Times New Roman"/>
                <w:sz w:val="22"/>
              </w:rPr>
              <w:t>2.504.140,71</w:t>
            </w:r>
          </w:p>
        </w:tc>
        <w:tc>
          <w:tcPr>
            <w:tcW w:w="756" w:type="dxa"/>
          </w:tcPr>
          <w:p>
            <w:pPr>
              <w:pStyle w:val="TableParagraph"/>
              <w:spacing w:line="238" w:lineRule="exact" w:before="13"/>
              <w:ind w:right="118"/>
              <w:rPr>
                <w:rFonts w:ascii="Times New Roman"/>
                <w:sz w:val="22"/>
              </w:rPr>
            </w:pPr>
            <w:r>
              <w:rPr>
                <w:rFonts w:ascii="Times New Roman"/>
                <w:sz w:val="22"/>
              </w:rPr>
              <w:t>86,26</w:t>
            </w:r>
          </w:p>
        </w:tc>
        <w:tc>
          <w:tcPr>
            <w:tcW w:w="749" w:type="dxa"/>
          </w:tcPr>
          <w:p>
            <w:pPr>
              <w:pStyle w:val="TableParagraph"/>
              <w:spacing w:line="238" w:lineRule="exact" w:before="13"/>
              <w:ind w:right="115"/>
              <w:rPr>
                <w:rFonts w:ascii="Times New Roman"/>
                <w:sz w:val="22"/>
              </w:rPr>
            </w:pPr>
            <w:r>
              <w:rPr>
                <w:rFonts w:ascii="Times New Roman"/>
                <w:sz w:val="22"/>
              </w:rPr>
              <w:t>42,26</w:t>
            </w:r>
          </w:p>
        </w:tc>
        <w:tc>
          <w:tcPr>
            <w:tcW w:w="792" w:type="dxa"/>
          </w:tcPr>
          <w:p>
            <w:pPr>
              <w:pStyle w:val="TableParagraph"/>
              <w:spacing w:line="238" w:lineRule="exact" w:before="13"/>
              <w:ind w:right="108"/>
              <w:rPr>
                <w:rFonts w:ascii="Times New Roman"/>
                <w:sz w:val="22"/>
              </w:rPr>
            </w:pPr>
            <w:r>
              <w:rPr>
                <w:rFonts w:ascii="Times New Roman"/>
                <w:sz w:val="22"/>
              </w:rPr>
              <w:t>39,71</w:t>
            </w:r>
          </w:p>
        </w:tc>
      </w:tr>
      <w:tr>
        <w:trPr>
          <w:trHeight w:val="270" w:hRule="atLeast"/>
        </w:trPr>
        <w:tc>
          <w:tcPr>
            <w:tcW w:w="439" w:type="dxa"/>
          </w:tcPr>
          <w:p>
            <w:pPr>
              <w:pStyle w:val="TableParagraph"/>
              <w:spacing w:before="0"/>
              <w:jc w:val="left"/>
              <w:rPr>
                <w:rFonts w:ascii="Times New Roman"/>
                <w:sz w:val="20"/>
              </w:rPr>
            </w:pPr>
          </w:p>
        </w:tc>
        <w:tc>
          <w:tcPr>
            <w:tcW w:w="3247" w:type="dxa"/>
          </w:tcPr>
          <w:p>
            <w:pPr>
              <w:pStyle w:val="TableParagraph"/>
              <w:spacing w:line="240" w:lineRule="exact"/>
              <w:ind w:left="16"/>
              <w:jc w:val="left"/>
              <w:rPr>
                <w:rFonts w:ascii="Times New Roman"/>
                <w:sz w:val="22"/>
              </w:rPr>
            </w:pPr>
            <w:r>
              <w:rPr>
                <w:rFonts w:ascii="Times New Roman"/>
                <w:sz w:val="22"/>
              </w:rPr>
              <w:t>Financijski rashodi</w:t>
            </w:r>
          </w:p>
        </w:tc>
        <w:tc>
          <w:tcPr>
            <w:tcW w:w="1557" w:type="dxa"/>
          </w:tcPr>
          <w:p>
            <w:pPr>
              <w:pStyle w:val="TableParagraph"/>
              <w:spacing w:line="243" w:lineRule="exact" w:before="8"/>
              <w:ind w:right="97"/>
              <w:rPr>
                <w:rFonts w:ascii="Times New Roman"/>
                <w:sz w:val="22"/>
              </w:rPr>
            </w:pPr>
            <w:r>
              <w:rPr>
                <w:rFonts w:ascii="Times New Roman"/>
                <w:sz w:val="22"/>
              </w:rPr>
              <w:t>17.348,49</w:t>
            </w:r>
          </w:p>
        </w:tc>
        <w:tc>
          <w:tcPr>
            <w:tcW w:w="1600" w:type="dxa"/>
          </w:tcPr>
          <w:p>
            <w:pPr>
              <w:pStyle w:val="TableParagraph"/>
              <w:spacing w:line="240" w:lineRule="exact"/>
              <w:ind w:right="96"/>
              <w:rPr>
                <w:rFonts w:ascii="Times New Roman"/>
                <w:sz w:val="22"/>
              </w:rPr>
            </w:pPr>
            <w:r>
              <w:rPr>
                <w:rFonts w:ascii="Times New Roman"/>
                <w:sz w:val="22"/>
              </w:rPr>
              <w:t>134.000,00</w:t>
            </w:r>
          </w:p>
        </w:tc>
        <w:tc>
          <w:tcPr>
            <w:tcW w:w="1658" w:type="dxa"/>
          </w:tcPr>
          <w:p>
            <w:pPr>
              <w:pStyle w:val="TableParagraph"/>
              <w:spacing w:line="240" w:lineRule="exact"/>
              <w:ind w:right="197"/>
              <w:rPr>
                <w:rFonts w:ascii="Times New Roman"/>
                <w:sz w:val="22"/>
              </w:rPr>
            </w:pPr>
            <w:r>
              <w:rPr>
                <w:rFonts w:ascii="Times New Roman"/>
                <w:sz w:val="22"/>
              </w:rPr>
              <w:t>55.710,63</w:t>
            </w:r>
          </w:p>
        </w:tc>
        <w:tc>
          <w:tcPr>
            <w:tcW w:w="756" w:type="dxa"/>
          </w:tcPr>
          <w:p>
            <w:pPr>
              <w:pStyle w:val="TableParagraph"/>
              <w:spacing w:line="240" w:lineRule="exact"/>
              <w:ind w:right="118"/>
              <w:rPr>
                <w:rFonts w:ascii="Times New Roman"/>
                <w:sz w:val="22"/>
              </w:rPr>
            </w:pPr>
            <w:r>
              <w:rPr>
                <w:rFonts w:ascii="Times New Roman"/>
                <w:sz w:val="22"/>
              </w:rPr>
              <w:t>321,13</w:t>
            </w:r>
          </w:p>
        </w:tc>
        <w:tc>
          <w:tcPr>
            <w:tcW w:w="749" w:type="dxa"/>
          </w:tcPr>
          <w:p>
            <w:pPr>
              <w:pStyle w:val="TableParagraph"/>
              <w:spacing w:line="240" w:lineRule="exact"/>
              <w:ind w:right="115"/>
              <w:rPr>
                <w:rFonts w:ascii="Times New Roman"/>
                <w:sz w:val="22"/>
              </w:rPr>
            </w:pPr>
            <w:r>
              <w:rPr>
                <w:rFonts w:ascii="Times New Roman"/>
                <w:sz w:val="22"/>
              </w:rPr>
              <w:t>41,58</w:t>
            </w:r>
          </w:p>
        </w:tc>
        <w:tc>
          <w:tcPr>
            <w:tcW w:w="792" w:type="dxa"/>
          </w:tcPr>
          <w:p>
            <w:pPr>
              <w:pStyle w:val="TableParagraph"/>
              <w:spacing w:line="240" w:lineRule="exact"/>
              <w:ind w:right="108"/>
              <w:rPr>
                <w:rFonts w:ascii="Times New Roman"/>
                <w:sz w:val="22"/>
              </w:rPr>
            </w:pPr>
            <w:r>
              <w:rPr>
                <w:rFonts w:ascii="Times New Roman"/>
                <w:sz w:val="22"/>
              </w:rPr>
              <w:t>0,88</w:t>
            </w:r>
          </w:p>
        </w:tc>
      </w:tr>
      <w:tr>
        <w:trPr>
          <w:trHeight w:val="268" w:hRule="atLeast"/>
        </w:trPr>
        <w:tc>
          <w:tcPr>
            <w:tcW w:w="439" w:type="dxa"/>
          </w:tcPr>
          <w:p>
            <w:pPr>
              <w:pStyle w:val="TableParagraph"/>
              <w:spacing w:before="0"/>
              <w:jc w:val="left"/>
              <w:rPr>
                <w:rFonts w:ascii="Times New Roman"/>
                <w:sz w:val="18"/>
              </w:rPr>
            </w:pPr>
          </w:p>
        </w:tc>
        <w:tc>
          <w:tcPr>
            <w:tcW w:w="3247" w:type="dxa"/>
          </w:tcPr>
          <w:p>
            <w:pPr>
              <w:pStyle w:val="TableParagraph"/>
              <w:spacing w:line="238" w:lineRule="exact"/>
              <w:ind w:left="16"/>
              <w:jc w:val="left"/>
              <w:rPr>
                <w:rFonts w:ascii="Times New Roman"/>
                <w:sz w:val="22"/>
              </w:rPr>
            </w:pPr>
            <w:r>
              <w:rPr>
                <w:rFonts w:ascii="Times New Roman"/>
                <w:sz w:val="22"/>
              </w:rPr>
              <w:t>Subvencije</w:t>
            </w:r>
          </w:p>
        </w:tc>
        <w:tc>
          <w:tcPr>
            <w:tcW w:w="1557" w:type="dxa"/>
          </w:tcPr>
          <w:p>
            <w:pPr>
              <w:pStyle w:val="TableParagraph"/>
              <w:spacing w:line="240" w:lineRule="exact" w:before="8"/>
              <w:ind w:right="97"/>
              <w:rPr>
                <w:rFonts w:ascii="Times New Roman"/>
                <w:sz w:val="22"/>
              </w:rPr>
            </w:pPr>
            <w:r>
              <w:rPr>
                <w:rFonts w:ascii="Times New Roman"/>
                <w:sz w:val="22"/>
              </w:rPr>
              <w:t>4.687,31</w:t>
            </w:r>
          </w:p>
        </w:tc>
        <w:tc>
          <w:tcPr>
            <w:tcW w:w="1600" w:type="dxa"/>
          </w:tcPr>
          <w:p>
            <w:pPr>
              <w:pStyle w:val="TableParagraph"/>
              <w:spacing w:line="240" w:lineRule="exact" w:before="8"/>
              <w:ind w:right="96"/>
              <w:rPr>
                <w:rFonts w:ascii="Times New Roman"/>
                <w:sz w:val="22"/>
              </w:rPr>
            </w:pPr>
            <w:r>
              <w:rPr>
                <w:rFonts w:ascii="Times New Roman"/>
                <w:sz w:val="22"/>
              </w:rPr>
              <w:t>174.000,00</w:t>
            </w:r>
          </w:p>
        </w:tc>
        <w:tc>
          <w:tcPr>
            <w:tcW w:w="1658" w:type="dxa"/>
          </w:tcPr>
          <w:p>
            <w:pPr>
              <w:pStyle w:val="TableParagraph"/>
              <w:spacing w:line="240" w:lineRule="exact" w:before="8"/>
              <w:ind w:right="197"/>
              <w:rPr>
                <w:rFonts w:ascii="Times New Roman"/>
                <w:sz w:val="22"/>
              </w:rPr>
            </w:pPr>
            <w:r>
              <w:rPr>
                <w:rFonts w:ascii="Times New Roman"/>
                <w:sz w:val="22"/>
              </w:rPr>
              <w:t>8.383,65</w:t>
            </w:r>
          </w:p>
        </w:tc>
        <w:tc>
          <w:tcPr>
            <w:tcW w:w="756" w:type="dxa"/>
          </w:tcPr>
          <w:p>
            <w:pPr>
              <w:pStyle w:val="TableParagraph"/>
              <w:spacing w:line="238" w:lineRule="exact"/>
              <w:ind w:right="118"/>
              <w:rPr>
                <w:rFonts w:ascii="Times New Roman"/>
                <w:sz w:val="22"/>
              </w:rPr>
            </w:pPr>
            <w:r>
              <w:rPr>
                <w:rFonts w:ascii="Times New Roman"/>
                <w:sz w:val="22"/>
              </w:rPr>
              <w:t>178,86</w:t>
            </w:r>
          </w:p>
        </w:tc>
        <w:tc>
          <w:tcPr>
            <w:tcW w:w="749" w:type="dxa"/>
          </w:tcPr>
          <w:p>
            <w:pPr>
              <w:pStyle w:val="TableParagraph"/>
              <w:spacing w:line="238" w:lineRule="exact"/>
              <w:ind w:right="115"/>
              <w:rPr>
                <w:rFonts w:ascii="Times New Roman"/>
                <w:sz w:val="22"/>
              </w:rPr>
            </w:pPr>
            <w:r>
              <w:rPr>
                <w:rFonts w:ascii="Times New Roman"/>
                <w:sz w:val="22"/>
              </w:rPr>
              <w:t>4,82</w:t>
            </w:r>
          </w:p>
        </w:tc>
        <w:tc>
          <w:tcPr>
            <w:tcW w:w="792" w:type="dxa"/>
          </w:tcPr>
          <w:p>
            <w:pPr>
              <w:pStyle w:val="TableParagraph"/>
              <w:spacing w:line="238" w:lineRule="exact"/>
              <w:ind w:right="108"/>
              <w:rPr>
                <w:rFonts w:ascii="Times New Roman"/>
                <w:sz w:val="22"/>
              </w:rPr>
            </w:pPr>
            <w:r>
              <w:rPr>
                <w:rFonts w:ascii="Times New Roman"/>
                <w:sz w:val="22"/>
              </w:rPr>
              <w:t>0,13</w:t>
            </w:r>
          </w:p>
        </w:tc>
      </w:tr>
      <w:tr>
        <w:trPr>
          <w:trHeight w:val="270" w:hRule="atLeast"/>
        </w:trPr>
        <w:tc>
          <w:tcPr>
            <w:tcW w:w="439" w:type="dxa"/>
          </w:tcPr>
          <w:p>
            <w:pPr>
              <w:pStyle w:val="TableParagraph"/>
              <w:spacing w:before="0"/>
              <w:jc w:val="left"/>
              <w:rPr>
                <w:rFonts w:ascii="Times New Roman"/>
                <w:sz w:val="20"/>
              </w:rPr>
            </w:pPr>
          </w:p>
        </w:tc>
        <w:tc>
          <w:tcPr>
            <w:tcW w:w="3247" w:type="dxa"/>
          </w:tcPr>
          <w:p>
            <w:pPr>
              <w:pStyle w:val="TableParagraph"/>
              <w:spacing w:line="238" w:lineRule="exact" w:before="12"/>
              <w:ind w:left="16"/>
              <w:jc w:val="left"/>
              <w:rPr>
                <w:rFonts w:ascii="Times New Roman" w:hAnsi="Times New Roman"/>
                <w:sz w:val="22"/>
              </w:rPr>
            </w:pPr>
            <w:r>
              <w:rPr>
                <w:rFonts w:ascii="Times New Roman" w:hAnsi="Times New Roman"/>
                <w:sz w:val="22"/>
              </w:rPr>
              <w:t>Naknade građanima i kućanstvima</w:t>
            </w:r>
          </w:p>
        </w:tc>
        <w:tc>
          <w:tcPr>
            <w:tcW w:w="1557" w:type="dxa"/>
          </w:tcPr>
          <w:p>
            <w:pPr>
              <w:pStyle w:val="TableParagraph"/>
              <w:spacing w:line="240" w:lineRule="exact"/>
              <w:ind w:right="97"/>
              <w:rPr>
                <w:rFonts w:ascii="Times New Roman"/>
                <w:sz w:val="22"/>
              </w:rPr>
            </w:pPr>
            <w:r>
              <w:rPr>
                <w:rFonts w:ascii="Times New Roman"/>
                <w:sz w:val="22"/>
              </w:rPr>
              <w:t>382.420,58</w:t>
            </w:r>
          </w:p>
        </w:tc>
        <w:tc>
          <w:tcPr>
            <w:tcW w:w="1600" w:type="dxa"/>
          </w:tcPr>
          <w:p>
            <w:pPr>
              <w:pStyle w:val="TableParagraph"/>
              <w:spacing w:line="240" w:lineRule="exact"/>
              <w:ind w:right="96"/>
              <w:rPr>
                <w:rFonts w:ascii="Times New Roman"/>
                <w:sz w:val="22"/>
              </w:rPr>
            </w:pPr>
            <w:r>
              <w:rPr>
                <w:rFonts w:ascii="Times New Roman"/>
                <w:sz w:val="22"/>
              </w:rPr>
              <w:t>588.000,00</w:t>
            </w:r>
          </w:p>
        </w:tc>
        <w:tc>
          <w:tcPr>
            <w:tcW w:w="1658" w:type="dxa"/>
          </w:tcPr>
          <w:p>
            <w:pPr>
              <w:pStyle w:val="TableParagraph"/>
              <w:spacing w:line="240" w:lineRule="exact"/>
              <w:ind w:right="197"/>
              <w:rPr>
                <w:rFonts w:ascii="Times New Roman"/>
                <w:sz w:val="22"/>
              </w:rPr>
            </w:pPr>
            <w:r>
              <w:rPr>
                <w:rFonts w:ascii="Times New Roman"/>
                <w:sz w:val="22"/>
              </w:rPr>
              <w:t>281.055,56</w:t>
            </w:r>
          </w:p>
        </w:tc>
        <w:tc>
          <w:tcPr>
            <w:tcW w:w="756" w:type="dxa"/>
          </w:tcPr>
          <w:p>
            <w:pPr>
              <w:pStyle w:val="TableParagraph"/>
              <w:spacing w:line="238" w:lineRule="exact" w:before="12"/>
              <w:ind w:right="118"/>
              <w:rPr>
                <w:rFonts w:ascii="Times New Roman"/>
                <w:sz w:val="22"/>
              </w:rPr>
            </w:pPr>
            <w:r>
              <w:rPr>
                <w:rFonts w:ascii="Times New Roman"/>
                <w:sz w:val="22"/>
              </w:rPr>
              <w:t>73,49</w:t>
            </w:r>
          </w:p>
        </w:tc>
        <w:tc>
          <w:tcPr>
            <w:tcW w:w="749" w:type="dxa"/>
          </w:tcPr>
          <w:p>
            <w:pPr>
              <w:pStyle w:val="TableParagraph"/>
              <w:spacing w:line="238" w:lineRule="exact" w:before="12"/>
              <w:ind w:right="115"/>
              <w:rPr>
                <w:rFonts w:ascii="Times New Roman"/>
                <w:sz w:val="22"/>
              </w:rPr>
            </w:pPr>
            <w:r>
              <w:rPr>
                <w:rFonts w:ascii="Times New Roman"/>
                <w:sz w:val="22"/>
              </w:rPr>
              <w:t>47,80</w:t>
            </w:r>
          </w:p>
        </w:tc>
        <w:tc>
          <w:tcPr>
            <w:tcW w:w="792" w:type="dxa"/>
          </w:tcPr>
          <w:p>
            <w:pPr>
              <w:pStyle w:val="TableParagraph"/>
              <w:spacing w:line="238" w:lineRule="exact" w:before="12"/>
              <w:ind w:right="108"/>
              <w:rPr>
                <w:rFonts w:ascii="Times New Roman"/>
                <w:sz w:val="22"/>
              </w:rPr>
            </w:pPr>
            <w:r>
              <w:rPr>
                <w:rFonts w:ascii="Times New Roman"/>
                <w:sz w:val="22"/>
              </w:rPr>
              <w:t>4,46</w:t>
            </w:r>
          </w:p>
        </w:tc>
      </w:tr>
      <w:tr>
        <w:trPr>
          <w:trHeight w:val="270" w:hRule="atLeast"/>
        </w:trPr>
        <w:tc>
          <w:tcPr>
            <w:tcW w:w="439" w:type="dxa"/>
          </w:tcPr>
          <w:p>
            <w:pPr>
              <w:pStyle w:val="TableParagraph"/>
              <w:spacing w:before="0"/>
              <w:jc w:val="left"/>
              <w:rPr>
                <w:rFonts w:ascii="Times New Roman"/>
                <w:sz w:val="20"/>
              </w:rPr>
            </w:pPr>
          </w:p>
        </w:tc>
        <w:tc>
          <w:tcPr>
            <w:tcW w:w="3247" w:type="dxa"/>
          </w:tcPr>
          <w:p>
            <w:pPr>
              <w:pStyle w:val="TableParagraph"/>
              <w:spacing w:line="240" w:lineRule="exact"/>
              <w:ind w:left="16"/>
              <w:jc w:val="left"/>
              <w:rPr>
                <w:rFonts w:ascii="Times New Roman"/>
                <w:sz w:val="22"/>
              </w:rPr>
            </w:pPr>
            <w:r>
              <w:rPr>
                <w:rFonts w:ascii="Times New Roman"/>
                <w:sz w:val="22"/>
              </w:rPr>
              <w:t>Ostali rashodi</w:t>
            </w:r>
          </w:p>
        </w:tc>
        <w:tc>
          <w:tcPr>
            <w:tcW w:w="1557" w:type="dxa"/>
          </w:tcPr>
          <w:p>
            <w:pPr>
              <w:pStyle w:val="TableParagraph"/>
              <w:spacing w:line="243" w:lineRule="exact" w:before="8"/>
              <w:ind w:right="97"/>
              <w:rPr>
                <w:rFonts w:ascii="Times New Roman"/>
                <w:sz w:val="22"/>
              </w:rPr>
            </w:pPr>
            <w:r>
              <w:rPr>
                <w:rFonts w:ascii="Times New Roman"/>
                <w:sz w:val="22"/>
              </w:rPr>
              <w:t>263.846,24</w:t>
            </w:r>
          </w:p>
        </w:tc>
        <w:tc>
          <w:tcPr>
            <w:tcW w:w="1600" w:type="dxa"/>
          </w:tcPr>
          <w:p>
            <w:pPr>
              <w:pStyle w:val="TableParagraph"/>
              <w:spacing w:line="240" w:lineRule="exact"/>
              <w:ind w:right="94"/>
              <w:rPr>
                <w:rFonts w:ascii="Times New Roman"/>
                <w:sz w:val="22"/>
              </w:rPr>
            </w:pPr>
            <w:r>
              <w:rPr>
                <w:rFonts w:ascii="Times New Roman"/>
                <w:sz w:val="22"/>
              </w:rPr>
              <w:t>1.219.000,00</w:t>
            </w:r>
          </w:p>
        </w:tc>
        <w:tc>
          <w:tcPr>
            <w:tcW w:w="1658" w:type="dxa"/>
          </w:tcPr>
          <w:p>
            <w:pPr>
              <w:pStyle w:val="TableParagraph"/>
              <w:spacing w:line="240" w:lineRule="exact"/>
              <w:ind w:right="197"/>
              <w:rPr>
                <w:rFonts w:ascii="Times New Roman"/>
                <w:sz w:val="22"/>
              </w:rPr>
            </w:pPr>
            <w:r>
              <w:rPr>
                <w:rFonts w:ascii="Times New Roman"/>
                <w:sz w:val="22"/>
              </w:rPr>
              <w:t>583.692,35</w:t>
            </w:r>
          </w:p>
        </w:tc>
        <w:tc>
          <w:tcPr>
            <w:tcW w:w="756" w:type="dxa"/>
          </w:tcPr>
          <w:p>
            <w:pPr>
              <w:pStyle w:val="TableParagraph"/>
              <w:spacing w:line="240" w:lineRule="exact"/>
              <w:ind w:right="118"/>
              <w:rPr>
                <w:rFonts w:ascii="Times New Roman"/>
                <w:sz w:val="22"/>
              </w:rPr>
            </w:pPr>
            <w:r>
              <w:rPr>
                <w:rFonts w:ascii="Times New Roman"/>
                <w:sz w:val="22"/>
              </w:rPr>
              <w:t>221,22</w:t>
            </w:r>
          </w:p>
        </w:tc>
        <w:tc>
          <w:tcPr>
            <w:tcW w:w="749" w:type="dxa"/>
          </w:tcPr>
          <w:p>
            <w:pPr>
              <w:pStyle w:val="TableParagraph"/>
              <w:spacing w:line="240" w:lineRule="exact"/>
              <w:ind w:right="115"/>
              <w:rPr>
                <w:rFonts w:ascii="Times New Roman"/>
                <w:sz w:val="22"/>
              </w:rPr>
            </w:pPr>
            <w:r>
              <w:rPr>
                <w:rFonts w:ascii="Times New Roman"/>
                <w:sz w:val="22"/>
              </w:rPr>
              <w:t>47,88</w:t>
            </w:r>
          </w:p>
        </w:tc>
        <w:tc>
          <w:tcPr>
            <w:tcW w:w="792" w:type="dxa"/>
          </w:tcPr>
          <w:p>
            <w:pPr>
              <w:pStyle w:val="TableParagraph"/>
              <w:spacing w:line="240" w:lineRule="exact"/>
              <w:ind w:right="108"/>
              <w:rPr>
                <w:rFonts w:ascii="Times New Roman"/>
                <w:sz w:val="22"/>
              </w:rPr>
            </w:pPr>
            <w:r>
              <w:rPr>
                <w:rFonts w:ascii="Times New Roman"/>
                <w:sz w:val="22"/>
              </w:rPr>
              <w:t>9,26</w:t>
            </w:r>
          </w:p>
        </w:tc>
      </w:tr>
      <w:tr>
        <w:trPr>
          <w:trHeight w:val="520" w:hRule="atLeast"/>
        </w:trPr>
        <w:tc>
          <w:tcPr>
            <w:tcW w:w="439" w:type="dxa"/>
          </w:tcPr>
          <w:p>
            <w:pPr>
              <w:pStyle w:val="TableParagraph"/>
              <w:spacing w:before="0"/>
              <w:jc w:val="left"/>
              <w:rPr>
                <w:rFonts w:ascii="Times New Roman"/>
                <w:sz w:val="23"/>
              </w:rPr>
            </w:pPr>
          </w:p>
          <w:p>
            <w:pPr>
              <w:pStyle w:val="TableParagraph"/>
              <w:spacing w:line="236" w:lineRule="exact" w:before="0"/>
              <w:ind w:left="14"/>
              <w:jc w:val="left"/>
              <w:rPr>
                <w:rFonts w:ascii="Times New Roman"/>
                <w:b/>
                <w:sz w:val="22"/>
              </w:rPr>
            </w:pPr>
            <w:r>
              <w:rPr>
                <w:rFonts w:ascii="Times New Roman"/>
                <w:b/>
                <w:sz w:val="22"/>
              </w:rPr>
              <w:t>2.</w:t>
            </w:r>
          </w:p>
        </w:tc>
        <w:tc>
          <w:tcPr>
            <w:tcW w:w="3247" w:type="dxa"/>
          </w:tcPr>
          <w:p>
            <w:pPr>
              <w:pStyle w:val="TableParagraph"/>
              <w:spacing w:line="252" w:lineRule="exact" w:before="16"/>
              <w:ind w:left="16" w:right="817"/>
              <w:jc w:val="left"/>
              <w:rPr>
                <w:rFonts w:ascii="Times New Roman"/>
                <w:b/>
                <w:sz w:val="22"/>
              </w:rPr>
            </w:pPr>
            <w:r>
              <w:rPr>
                <w:rFonts w:ascii="Times New Roman"/>
                <w:b/>
                <w:sz w:val="22"/>
              </w:rPr>
              <w:t>RASHODI ZA NABAVU NEFINANC. IMOVINE</w:t>
            </w:r>
          </w:p>
        </w:tc>
        <w:tc>
          <w:tcPr>
            <w:tcW w:w="1557" w:type="dxa"/>
          </w:tcPr>
          <w:p>
            <w:pPr>
              <w:pStyle w:val="TableParagraph"/>
              <w:spacing w:before="0"/>
              <w:jc w:val="left"/>
              <w:rPr>
                <w:rFonts w:ascii="Times New Roman"/>
                <w:sz w:val="23"/>
              </w:rPr>
            </w:pPr>
          </w:p>
          <w:p>
            <w:pPr>
              <w:pStyle w:val="TableParagraph"/>
              <w:spacing w:line="236" w:lineRule="exact" w:before="0"/>
              <w:ind w:right="97"/>
              <w:rPr>
                <w:rFonts w:ascii="Times New Roman"/>
                <w:b/>
                <w:sz w:val="22"/>
              </w:rPr>
            </w:pPr>
            <w:r>
              <w:rPr>
                <w:rFonts w:ascii="Times New Roman"/>
                <w:b/>
                <w:sz w:val="22"/>
              </w:rPr>
              <w:t>907.068,07</w:t>
            </w:r>
          </w:p>
        </w:tc>
        <w:tc>
          <w:tcPr>
            <w:tcW w:w="1600" w:type="dxa"/>
          </w:tcPr>
          <w:p>
            <w:pPr>
              <w:pStyle w:val="TableParagraph"/>
              <w:spacing w:before="0"/>
              <w:jc w:val="left"/>
              <w:rPr>
                <w:rFonts w:ascii="Times New Roman"/>
                <w:sz w:val="23"/>
              </w:rPr>
            </w:pPr>
          </w:p>
          <w:p>
            <w:pPr>
              <w:pStyle w:val="TableParagraph"/>
              <w:spacing w:line="236" w:lineRule="exact" w:before="0"/>
              <w:ind w:right="94"/>
              <w:rPr>
                <w:rFonts w:ascii="Times New Roman"/>
                <w:b/>
                <w:sz w:val="22"/>
              </w:rPr>
            </w:pPr>
            <w:r>
              <w:rPr>
                <w:rFonts w:ascii="Times New Roman"/>
                <w:b/>
                <w:sz w:val="22"/>
              </w:rPr>
              <w:t>7.915.000,00</w:t>
            </w:r>
          </w:p>
        </w:tc>
        <w:tc>
          <w:tcPr>
            <w:tcW w:w="1658" w:type="dxa"/>
          </w:tcPr>
          <w:p>
            <w:pPr>
              <w:pStyle w:val="TableParagraph"/>
              <w:spacing w:before="0"/>
              <w:jc w:val="left"/>
              <w:rPr>
                <w:rFonts w:ascii="Times New Roman"/>
                <w:sz w:val="23"/>
              </w:rPr>
            </w:pPr>
          </w:p>
          <w:p>
            <w:pPr>
              <w:pStyle w:val="TableParagraph"/>
              <w:spacing w:line="236" w:lineRule="exact" w:before="0"/>
              <w:ind w:right="197"/>
              <w:rPr>
                <w:rFonts w:ascii="Times New Roman"/>
                <w:b/>
                <w:sz w:val="22"/>
              </w:rPr>
            </w:pPr>
            <w:r>
              <w:rPr>
                <w:rFonts w:ascii="Times New Roman"/>
                <w:b/>
                <w:sz w:val="22"/>
              </w:rPr>
              <w:t>931.851,69</w:t>
            </w:r>
          </w:p>
        </w:tc>
        <w:tc>
          <w:tcPr>
            <w:tcW w:w="756" w:type="dxa"/>
          </w:tcPr>
          <w:p>
            <w:pPr>
              <w:pStyle w:val="TableParagraph"/>
              <w:spacing w:before="0"/>
              <w:jc w:val="left"/>
              <w:rPr>
                <w:rFonts w:ascii="Times New Roman"/>
                <w:sz w:val="23"/>
              </w:rPr>
            </w:pPr>
          </w:p>
          <w:p>
            <w:pPr>
              <w:pStyle w:val="TableParagraph"/>
              <w:spacing w:line="236" w:lineRule="exact" w:before="0"/>
              <w:ind w:right="118"/>
              <w:rPr>
                <w:rFonts w:ascii="Times New Roman"/>
                <w:b/>
                <w:sz w:val="22"/>
              </w:rPr>
            </w:pPr>
            <w:r>
              <w:rPr>
                <w:rFonts w:ascii="Times New Roman"/>
                <w:b/>
                <w:sz w:val="22"/>
              </w:rPr>
              <w:t>102,73</w:t>
            </w:r>
          </w:p>
        </w:tc>
        <w:tc>
          <w:tcPr>
            <w:tcW w:w="749" w:type="dxa"/>
          </w:tcPr>
          <w:p>
            <w:pPr>
              <w:pStyle w:val="TableParagraph"/>
              <w:spacing w:before="0"/>
              <w:jc w:val="left"/>
              <w:rPr>
                <w:rFonts w:ascii="Times New Roman"/>
                <w:sz w:val="23"/>
              </w:rPr>
            </w:pPr>
          </w:p>
          <w:p>
            <w:pPr>
              <w:pStyle w:val="TableParagraph"/>
              <w:spacing w:line="236" w:lineRule="exact" w:before="0"/>
              <w:ind w:right="115"/>
              <w:rPr>
                <w:rFonts w:ascii="Times New Roman"/>
                <w:b/>
                <w:sz w:val="22"/>
              </w:rPr>
            </w:pPr>
            <w:r>
              <w:rPr>
                <w:rFonts w:ascii="Times New Roman"/>
                <w:b/>
                <w:sz w:val="22"/>
              </w:rPr>
              <w:t>11,77</w:t>
            </w:r>
          </w:p>
        </w:tc>
        <w:tc>
          <w:tcPr>
            <w:tcW w:w="792" w:type="dxa"/>
          </w:tcPr>
          <w:p>
            <w:pPr>
              <w:pStyle w:val="TableParagraph"/>
              <w:spacing w:before="0"/>
              <w:jc w:val="left"/>
              <w:rPr>
                <w:rFonts w:ascii="Times New Roman"/>
                <w:sz w:val="23"/>
              </w:rPr>
            </w:pPr>
          </w:p>
          <w:p>
            <w:pPr>
              <w:pStyle w:val="TableParagraph"/>
              <w:spacing w:line="236" w:lineRule="exact" w:before="0"/>
              <w:ind w:right="108"/>
              <w:rPr>
                <w:rFonts w:ascii="Times New Roman"/>
                <w:b/>
                <w:sz w:val="22"/>
              </w:rPr>
            </w:pPr>
            <w:r>
              <w:rPr>
                <w:rFonts w:ascii="Times New Roman"/>
                <w:b/>
                <w:sz w:val="22"/>
              </w:rPr>
              <w:t>14,78</w:t>
            </w:r>
          </w:p>
        </w:tc>
      </w:tr>
      <w:tr>
        <w:trPr>
          <w:trHeight w:val="268" w:hRule="atLeast"/>
        </w:trPr>
        <w:tc>
          <w:tcPr>
            <w:tcW w:w="439" w:type="dxa"/>
          </w:tcPr>
          <w:p>
            <w:pPr>
              <w:pStyle w:val="TableParagraph"/>
              <w:spacing w:before="0"/>
              <w:jc w:val="left"/>
              <w:rPr>
                <w:rFonts w:ascii="Times New Roman"/>
                <w:sz w:val="18"/>
              </w:rPr>
            </w:pPr>
          </w:p>
        </w:tc>
        <w:tc>
          <w:tcPr>
            <w:tcW w:w="3247" w:type="dxa"/>
          </w:tcPr>
          <w:p>
            <w:pPr>
              <w:pStyle w:val="TableParagraph"/>
              <w:spacing w:line="238" w:lineRule="exact"/>
              <w:ind w:left="16"/>
              <w:jc w:val="left"/>
              <w:rPr>
                <w:rFonts w:ascii="Times New Roman"/>
                <w:sz w:val="22"/>
              </w:rPr>
            </w:pPr>
            <w:r>
              <w:rPr>
                <w:rFonts w:ascii="Times New Roman"/>
                <w:sz w:val="22"/>
              </w:rPr>
              <w:t>Rashodi za nabavu neproizvedene</w:t>
            </w:r>
          </w:p>
        </w:tc>
        <w:tc>
          <w:tcPr>
            <w:tcW w:w="1557" w:type="dxa"/>
          </w:tcPr>
          <w:p>
            <w:pPr>
              <w:pStyle w:val="TableParagraph"/>
              <w:spacing w:line="240" w:lineRule="exact" w:before="8"/>
              <w:ind w:right="97"/>
              <w:rPr>
                <w:rFonts w:ascii="Times New Roman"/>
                <w:sz w:val="22"/>
              </w:rPr>
            </w:pPr>
            <w:r>
              <w:rPr>
                <w:rFonts w:ascii="Times New Roman"/>
                <w:sz w:val="22"/>
              </w:rPr>
              <w:t>0,00</w:t>
            </w:r>
          </w:p>
        </w:tc>
        <w:tc>
          <w:tcPr>
            <w:tcW w:w="1600" w:type="dxa"/>
          </w:tcPr>
          <w:p>
            <w:pPr>
              <w:pStyle w:val="TableParagraph"/>
              <w:spacing w:line="238" w:lineRule="exact"/>
              <w:ind w:right="96"/>
              <w:rPr>
                <w:rFonts w:ascii="Times New Roman"/>
                <w:sz w:val="22"/>
              </w:rPr>
            </w:pPr>
            <w:r>
              <w:rPr>
                <w:rFonts w:ascii="Times New Roman"/>
                <w:sz w:val="22"/>
              </w:rPr>
              <w:t>384.000,00</w:t>
            </w:r>
          </w:p>
        </w:tc>
        <w:tc>
          <w:tcPr>
            <w:tcW w:w="1658" w:type="dxa"/>
          </w:tcPr>
          <w:p>
            <w:pPr>
              <w:pStyle w:val="TableParagraph"/>
              <w:spacing w:line="238" w:lineRule="exact"/>
              <w:ind w:right="197"/>
              <w:rPr>
                <w:rFonts w:ascii="Times New Roman"/>
                <w:sz w:val="22"/>
              </w:rPr>
            </w:pPr>
            <w:r>
              <w:rPr>
                <w:rFonts w:ascii="Times New Roman"/>
                <w:sz w:val="22"/>
              </w:rPr>
              <w:t>233.174,00</w:t>
            </w:r>
          </w:p>
        </w:tc>
        <w:tc>
          <w:tcPr>
            <w:tcW w:w="756" w:type="dxa"/>
          </w:tcPr>
          <w:p>
            <w:pPr>
              <w:pStyle w:val="TableParagraph"/>
              <w:spacing w:line="238" w:lineRule="exact"/>
              <w:ind w:right="120"/>
              <w:rPr>
                <w:rFonts w:ascii="Times New Roman"/>
                <w:sz w:val="22"/>
              </w:rPr>
            </w:pPr>
            <w:r>
              <w:rPr>
                <w:rFonts w:ascii="Times New Roman"/>
                <w:sz w:val="22"/>
              </w:rPr>
              <w:t>xxx</w:t>
            </w:r>
          </w:p>
        </w:tc>
        <w:tc>
          <w:tcPr>
            <w:tcW w:w="749" w:type="dxa"/>
          </w:tcPr>
          <w:p>
            <w:pPr>
              <w:pStyle w:val="TableParagraph"/>
              <w:spacing w:line="238" w:lineRule="exact"/>
              <w:ind w:right="115"/>
              <w:rPr>
                <w:rFonts w:ascii="Times New Roman"/>
                <w:sz w:val="22"/>
              </w:rPr>
            </w:pPr>
            <w:r>
              <w:rPr>
                <w:rFonts w:ascii="Times New Roman"/>
                <w:sz w:val="22"/>
              </w:rPr>
              <w:t>60,72</w:t>
            </w:r>
          </w:p>
        </w:tc>
        <w:tc>
          <w:tcPr>
            <w:tcW w:w="792" w:type="dxa"/>
          </w:tcPr>
          <w:p>
            <w:pPr>
              <w:pStyle w:val="TableParagraph"/>
              <w:spacing w:line="238" w:lineRule="exact"/>
              <w:ind w:right="108"/>
              <w:rPr>
                <w:rFonts w:ascii="Times New Roman"/>
                <w:sz w:val="22"/>
              </w:rPr>
            </w:pPr>
            <w:r>
              <w:rPr>
                <w:rFonts w:ascii="Times New Roman"/>
                <w:sz w:val="22"/>
              </w:rPr>
              <w:t>3,70</w:t>
            </w:r>
          </w:p>
        </w:tc>
      </w:tr>
      <w:tr>
        <w:trPr>
          <w:trHeight w:val="270" w:hRule="atLeast"/>
        </w:trPr>
        <w:tc>
          <w:tcPr>
            <w:tcW w:w="439" w:type="dxa"/>
          </w:tcPr>
          <w:p>
            <w:pPr>
              <w:pStyle w:val="TableParagraph"/>
              <w:spacing w:before="0"/>
              <w:jc w:val="left"/>
              <w:rPr>
                <w:rFonts w:ascii="Times New Roman"/>
                <w:sz w:val="20"/>
              </w:rPr>
            </w:pPr>
          </w:p>
        </w:tc>
        <w:tc>
          <w:tcPr>
            <w:tcW w:w="3247" w:type="dxa"/>
          </w:tcPr>
          <w:p>
            <w:pPr>
              <w:pStyle w:val="TableParagraph"/>
              <w:spacing w:line="238" w:lineRule="exact" w:before="13"/>
              <w:ind w:left="16"/>
              <w:jc w:val="left"/>
              <w:rPr>
                <w:rFonts w:ascii="Times New Roman"/>
                <w:sz w:val="22"/>
              </w:rPr>
            </w:pPr>
            <w:r>
              <w:rPr>
                <w:rFonts w:ascii="Times New Roman"/>
                <w:sz w:val="22"/>
              </w:rPr>
              <w:t>Rashodi za nabavu proizvedene</w:t>
            </w:r>
          </w:p>
        </w:tc>
        <w:tc>
          <w:tcPr>
            <w:tcW w:w="1557" w:type="dxa"/>
          </w:tcPr>
          <w:p>
            <w:pPr>
              <w:pStyle w:val="TableParagraph"/>
              <w:spacing w:line="240" w:lineRule="exact"/>
              <w:ind w:right="97"/>
              <w:rPr>
                <w:rFonts w:ascii="Times New Roman"/>
                <w:sz w:val="22"/>
              </w:rPr>
            </w:pPr>
            <w:r>
              <w:rPr>
                <w:rFonts w:ascii="Times New Roman"/>
                <w:sz w:val="22"/>
              </w:rPr>
              <w:t>907.068,07</w:t>
            </w:r>
          </w:p>
        </w:tc>
        <w:tc>
          <w:tcPr>
            <w:tcW w:w="1600" w:type="dxa"/>
          </w:tcPr>
          <w:p>
            <w:pPr>
              <w:pStyle w:val="TableParagraph"/>
              <w:spacing w:line="240" w:lineRule="exact"/>
              <w:ind w:right="94"/>
              <w:rPr>
                <w:rFonts w:ascii="Times New Roman"/>
                <w:sz w:val="22"/>
              </w:rPr>
            </w:pPr>
            <w:r>
              <w:rPr>
                <w:rFonts w:ascii="Times New Roman"/>
                <w:sz w:val="22"/>
              </w:rPr>
              <w:t>7.531.000,00</w:t>
            </w:r>
          </w:p>
        </w:tc>
        <w:tc>
          <w:tcPr>
            <w:tcW w:w="1658" w:type="dxa"/>
          </w:tcPr>
          <w:p>
            <w:pPr>
              <w:pStyle w:val="TableParagraph"/>
              <w:spacing w:line="240" w:lineRule="exact"/>
              <w:ind w:right="197"/>
              <w:rPr>
                <w:rFonts w:ascii="Times New Roman"/>
                <w:sz w:val="22"/>
              </w:rPr>
            </w:pPr>
            <w:r>
              <w:rPr>
                <w:rFonts w:ascii="Times New Roman"/>
                <w:sz w:val="22"/>
              </w:rPr>
              <w:t>698.677,69</w:t>
            </w:r>
          </w:p>
        </w:tc>
        <w:tc>
          <w:tcPr>
            <w:tcW w:w="756" w:type="dxa"/>
          </w:tcPr>
          <w:p>
            <w:pPr>
              <w:pStyle w:val="TableParagraph"/>
              <w:spacing w:line="238" w:lineRule="exact" w:before="13"/>
              <w:ind w:right="118"/>
              <w:rPr>
                <w:rFonts w:ascii="Times New Roman"/>
                <w:sz w:val="22"/>
              </w:rPr>
            </w:pPr>
            <w:r>
              <w:rPr>
                <w:rFonts w:ascii="Times New Roman"/>
                <w:sz w:val="22"/>
              </w:rPr>
              <w:t>77,03</w:t>
            </w:r>
          </w:p>
        </w:tc>
        <w:tc>
          <w:tcPr>
            <w:tcW w:w="749" w:type="dxa"/>
          </w:tcPr>
          <w:p>
            <w:pPr>
              <w:pStyle w:val="TableParagraph"/>
              <w:spacing w:line="238" w:lineRule="exact" w:before="13"/>
              <w:ind w:right="115"/>
              <w:rPr>
                <w:rFonts w:ascii="Times New Roman"/>
                <w:sz w:val="22"/>
              </w:rPr>
            </w:pPr>
            <w:r>
              <w:rPr>
                <w:rFonts w:ascii="Times New Roman"/>
                <w:sz w:val="22"/>
              </w:rPr>
              <w:t>9,28</w:t>
            </w:r>
          </w:p>
        </w:tc>
        <w:tc>
          <w:tcPr>
            <w:tcW w:w="792" w:type="dxa"/>
          </w:tcPr>
          <w:p>
            <w:pPr>
              <w:pStyle w:val="TableParagraph"/>
              <w:spacing w:line="238" w:lineRule="exact" w:before="13"/>
              <w:ind w:right="108"/>
              <w:rPr>
                <w:rFonts w:ascii="Times New Roman"/>
                <w:sz w:val="22"/>
              </w:rPr>
            </w:pPr>
            <w:r>
              <w:rPr>
                <w:rFonts w:ascii="Times New Roman"/>
                <w:sz w:val="22"/>
              </w:rPr>
              <w:t>11,08</w:t>
            </w:r>
          </w:p>
        </w:tc>
      </w:tr>
      <w:tr>
        <w:trPr>
          <w:trHeight w:val="270" w:hRule="atLeast"/>
        </w:trPr>
        <w:tc>
          <w:tcPr>
            <w:tcW w:w="439" w:type="dxa"/>
          </w:tcPr>
          <w:p>
            <w:pPr>
              <w:pStyle w:val="TableParagraph"/>
              <w:spacing w:before="0"/>
              <w:jc w:val="left"/>
              <w:rPr>
                <w:rFonts w:ascii="Times New Roman"/>
                <w:sz w:val="20"/>
              </w:rPr>
            </w:pPr>
          </w:p>
        </w:tc>
        <w:tc>
          <w:tcPr>
            <w:tcW w:w="3247" w:type="dxa"/>
          </w:tcPr>
          <w:p>
            <w:pPr>
              <w:pStyle w:val="TableParagraph"/>
              <w:spacing w:line="236" w:lineRule="exact" w:before="15"/>
              <w:ind w:left="16"/>
              <w:jc w:val="left"/>
              <w:rPr>
                <w:rFonts w:ascii="Times New Roman"/>
                <w:b/>
                <w:sz w:val="22"/>
              </w:rPr>
            </w:pPr>
            <w:r>
              <w:rPr>
                <w:rFonts w:ascii="Times New Roman"/>
                <w:b/>
                <w:sz w:val="22"/>
              </w:rPr>
              <w:t>UKUPNI RASHODI</w:t>
            </w:r>
          </w:p>
        </w:tc>
        <w:tc>
          <w:tcPr>
            <w:tcW w:w="1557" w:type="dxa"/>
          </w:tcPr>
          <w:p>
            <w:pPr>
              <w:pStyle w:val="TableParagraph"/>
              <w:spacing w:line="236" w:lineRule="exact" w:before="15"/>
              <w:ind w:right="97"/>
              <w:rPr>
                <w:rFonts w:ascii="Times New Roman"/>
                <w:b/>
                <w:sz w:val="22"/>
              </w:rPr>
            </w:pPr>
            <w:r>
              <w:rPr>
                <w:rFonts w:ascii="Times New Roman"/>
                <w:b/>
                <w:sz w:val="22"/>
              </w:rPr>
              <w:t>6.531.411,12</w:t>
            </w:r>
          </w:p>
        </w:tc>
        <w:tc>
          <w:tcPr>
            <w:tcW w:w="1600" w:type="dxa"/>
          </w:tcPr>
          <w:p>
            <w:pPr>
              <w:pStyle w:val="TableParagraph"/>
              <w:spacing w:line="236" w:lineRule="exact" w:before="15"/>
              <w:ind w:right="96"/>
              <w:rPr>
                <w:rFonts w:ascii="Times New Roman"/>
                <w:b/>
                <w:sz w:val="22"/>
              </w:rPr>
            </w:pPr>
            <w:r>
              <w:rPr>
                <w:rFonts w:ascii="Times New Roman"/>
                <w:b/>
                <w:sz w:val="22"/>
              </w:rPr>
              <w:t>20.418.660,87</w:t>
            </w:r>
          </w:p>
        </w:tc>
        <w:tc>
          <w:tcPr>
            <w:tcW w:w="1658" w:type="dxa"/>
          </w:tcPr>
          <w:p>
            <w:pPr>
              <w:pStyle w:val="TableParagraph"/>
              <w:spacing w:line="236" w:lineRule="exact" w:before="15"/>
              <w:ind w:right="197"/>
              <w:rPr>
                <w:rFonts w:ascii="Times New Roman"/>
                <w:b/>
                <w:sz w:val="22"/>
              </w:rPr>
            </w:pPr>
            <w:r>
              <w:rPr>
                <w:rFonts w:ascii="Times New Roman"/>
                <w:b/>
                <w:sz w:val="22"/>
              </w:rPr>
              <w:t>6.305.627,45</w:t>
            </w:r>
          </w:p>
        </w:tc>
        <w:tc>
          <w:tcPr>
            <w:tcW w:w="756" w:type="dxa"/>
          </w:tcPr>
          <w:p>
            <w:pPr>
              <w:pStyle w:val="TableParagraph"/>
              <w:spacing w:line="236" w:lineRule="exact" w:before="15"/>
              <w:ind w:right="118"/>
              <w:rPr>
                <w:rFonts w:ascii="Times New Roman"/>
                <w:b/>
                <w:sz w:val="22"/>
              </w:rPr>
            </w:pPr>
            <w:r>
              <w:rPr>
                <w:rFonts w:ascii="Times New Roman"/>
                <w:b/>
                <w:sz w:val="22"/>
              </w:rPr>
              <w:t>96,54</w:t>
            </w:r>
          </w:p>
        </w:tc>
        <w:tc>
          <w:tcPr>
            <w:tcW w:w="749" w:type="dxa"/>
          </w:tcPr>
          <w:p>
            <w:pPr>
              <w:pStyle w:val="TableParagraph"/>
              <w:spacing w:line="236" w:lineRule="exact" w:before="15"/>
              <w:ind w:right="115"/>
              <w:rPr>
                <w:rFonts w:ascii="Times New Roman"/>
                <w:b/>
                <w:sz w:val="22"/>
              </w:rPr>
            </w:pPr>
            <w:r>
              <w:rPr>
                <w:rFonts w:ascii="Times New Roman"/>
                <w:b/>
                <w:sz w:val="22"/>
              </w:rPr>
              <w:t>30,88</w:t>
            </w:r>
          </w:p>
        </w:tc>
        <w:tc>
          <w:tcPr>
            <w:tcW w:w="792" w:type="dxa"/>
          </w:tcPr>
          <w:p>
            <w:pPr>
              <w:pStyle w:val="TableParagraph"/>
              <w:spacing w:line="236" w:lineRule="exact" w:before="15"/>
              <w:ind w:right="108"/>
              <w:rPr>
                <w:rFonts w:ascii="Times New Roman"/>
                <w:b/>
                <w:sz w:val="22"/>
              </w:rPr>
            </w:pPr>
            <w:r>
              <w:rPr>
                <w:rFonts w:ascii="Times New Roman"/>
                <w:b/>
                <w:sz w:val="22"/>
              </w:rPr>
              <w:t>100,00</w:t>
            </w:r>
          </w:p>
        </w:tc>
      </w:tr>
      <w:tr>
        <w:trPr>
          <w:trHeight w:val="268" w:hRule="atLeast"/>
        </w:trPr>
        <w:tc>
          <w:tcPr>
            <w:tcW w:w="439" w:type="dxa"/>
          </w:tcPr>
          <w:p>
            <w:pPr>
              <w:pStyle w:val="TableParagraph"/>
              <w:spacing w:line="238" w:lineRule="exact"/>
              <w:ind w:left="14"/>
              <w:jc w:val="left"/>
              <w:rPr>
                <w:rFonts w:ascii="Times New Roman"/>
                <w:sz w:val="22"/>
              </w:rPr>
            </w:pPr>
            <w:r>
              <w:rPr>
                <w:rFonts w:ascii="Times New Roman"/>
                <w:b/>
                <w:sz w:val="22"/>
              </w:rPr>
              <w:t>3</w:t>
            </w:r>
            <w:r>
              <w:rPr>
                <w:rFonts w:ascii="Times New Roman"/>
                <w:sz w:val="22"/>
              </w:rPr>
              <w:t>.</w:t>
            </w:r>
          </w:p>
        </w:tc>
        <w:tc>
          <w:tcPr>
            <w:tcW w:w="3247" w:type="dxa"/>
          </w:tcPr>
          <w:p>
            <w:pPr>
              <w:pStyle w:val="TableParagraph"/>
              <w:spacing w:line="233" w:lineRule="exact" w:before="15"/>
              <w:ind w:left="16"/>
              <w:jc w:val="left"/>
              <w:rPr>
                <w:rFonts w:ascii="Times New Roman"/>
                <w:b/>
                <w:sz w:val="22"/>
              </w:rPr>
            </w:pPr>
            <w:r>
              <w:rPr>
                <w:rFonts w:ascii="Times New Roman"/>
                <w:b/>
                <w:sz w:val="22"/>
              </w:rPr>
              <w:t>IZDACI ZA FINANC IMOVINU</w:t>
            </w:r>
          </w:p>
        </w:tc>
        <w:tc>
          <w:tcPr>
            <w:tcW w:w="1557" w:type="dxa"/>
          </w:tcPr>
          <w:p>
            <w:pPr>
              <w:pStyle w:val="TableParagraph"/>
              <w:spacing w:line="240" w:lineRule="exact" w:before="8"/>
              <w:ind w:right="97"/>
              <w:rPr>
                <w:rFonts w:ascii="Times New Roman"/>
                <w:sz w:val="22"/>
              </w:rPr>
            </w:pPr>
            <w:r>
              <w:rPr>
                <w:rFonts w:ascii="Times New Roman"/>
                <w:sz w:val="22"/>
              </w:rPr>
              <w:t>33.559,19</w:t>
            </w:r>
          </w:p>
        </w:tc>
        <w:tc>
          <w:tcPr>
            <w:tcW w:w="1600" w:type="dxa"/>
          </w:tcPr>
          <w:p>
            <w:pPr>
              <w:pStyle w:val="TableParagraph"/>
              <w:spacing w:line="238" w:lineRule="exact"/>
              <w:ind w:right="96"/>
              <w:rPr>
                <w:rFonts w:ascii="Times New Roman"/>
                <w:sz w:val="22"/>
              </w:rPr>
            </w:pPr>
            <w:r>
              <w:rPr>
                <w:rFonts w:ascii="Times New Roman"/>
                <w:sz w:val="22"/>
              </w:rPr>
              <w:t>0,00</w:t>
            </w:r>
          </w:p>
        </w:tc>
        <w:tc>
          <w:tcPr>
            <w:tcW w:w="1658" w:type="dxa"/>
          </w:tcPr>
          <w:p>
            <w:pPr>
              <w:pStyle w:val="TableParagraph"/>
              <w:spacing w:line="238" w:lineRule="exact"/>
              <w:ind w:right="197"/>
              <w:rPr>
                <w:rFonts w:ascii="Times New Roman"/>
                <w:sz w:val="22"/>
              </w:rPr>
            </w:pPr>
            <w:r>
              <w:rPr>
                <w:rFonts w:ascii="Times New Roman"/>
                <w:sz w:val="22"/>
              </w:rPr>
              <w:t>0,00</w:t>
            </w:r>
          </w:p>
        </w:tc>
        <w:tc>
          <w:tcPr>
            <w:tcW w:w="756" w:type="dxa"/>
          </w:tcPr>
          <w:p>
            <w:pPr>
              <w:pStyle w:val="TableParagraph"/>
              <w:spacing w:line="238" w:lineRule="exact"/>
              <w:ind w:right="118"/>
              <w:rPr>
                <w:rFonts w:ascii="Times New Roman"/>
                <w:sz w:val="22"/>
              </w:rPr>
            </w:pPr>
            <w:r>
              <w:rPr>
                <w:rFonts w:ascii="Times New Roman"/>
                <w:sz w:val="22"/>
              </w:rPr>
              <w:t>0,00</w:t>
            </w:r>
          </w:p>
        </w:tc>
        <w:tc>
          <w:tcPr>
            <w:tcW w:w="749" w:type="dxa"/>
          </w:tcPr>
          <w:p>
            <w:pPr>
              <w:pStyle w:val="TableParagraph"/>
              <w:spacing w:line="238" w:lineRule="exact"/>
              <w:ind w:right="115"/>
              <w:rPr>
                <w:rFonts w:ascii="Times New Roman"/>
                <w:sz w:val="22"/>
              </w:rPr>
            </w:pPr>
            <w:r>
              <w:rPr>
                <w:rFonts w:ascii="Times New Roman"/>
                <w:sz w:val="22"/>
              </w:rPr>
              <w:t>0,00</w:t>
            </w:r>
          </w:p>
        </w:tc>
        <w:tc>
          <w:tcPr>
            <w:tcW w:w="792" w:type="dxa"/>
          </w:tcPr>
          <w:p>
            <w:pPr>
              <w:pStyle w:val="TableParagraph"/>
              <w:spacing w:line="238" w:lineRule="exact"/>
              <w:ind w:right="108"/>
              <w:rPr>
                <w:rFonts w:ascii="Times New Roman"/>
                <w:sz w:val="22"/>
              </w:rPr>
            </w:pPr>
            <w:r>
              <w:rPr>
                <w:rFonts w:ascii="Times New Roman"/>
                <w:sz w:val="22"/>
              </w:rPr>
              <w:t>0,00</w:t>
            </w:r>
          </w:p>
        </w:tc>
      </w:tr>
      <w:tr>
        <w:trPr>
          <w:trHeight w:val="270" w:hRule="atLeast"/>
        </w:trPr>
        <w:tc>
          <w:tcPr>
            <w:tcW w:w="439" w:type="dxa"/>
          </w:tcPr>
          <w:p>
            <w:pPr>
              <w:pStyle w:val="TableParagraph"/>
              <w:spacing w:before="0"/>
              <w:jc w:val="left"/>
              <w:rPr>
                <w:rFonts w:ascii="Times New Roman"/>
                <w:sz w:val="20"/>
              </w:rPr>
            </w:pPr>
          </w:p>
        </w:tc>
        <w:tc>
          <w:tcPr>
            <w:tcW w:w="3247" w:type="dxa"/>
          </w:tcPr>
          <w:p>
            <w:pPr>
              <w:pStyle w:val="TableParagraph"/>
              <w:spacing w:line="233" w:lineRule="exact" w:before="17"/>
              <w:ind w:left="16"/>
              <w:jc w:val="left"/>
              <w:rPr>
                <w:rFonts w:ascii="Times New Roman"/>
                <w:b/>
                <w:sz w:val="22"/>
              </w:rPr>
            </w:pPr>
            <w:r>
              <w:rPr>
                <w:rFonts w:ascii="Times New Roman"/>
                <w:b/>
                <w:sz w:val="22"/>
              </w:rPr>
              <w:t>UKUPNI RASHODI I IZDACI</w:t>
            </w:r>
          </w:p>
        </w:tc>
        <w:tc>
          <w:tcPr>
            <w:tcW w:w="1557" w:type="dxa"/>
          </w:tcPr>
          <w:p>
            <w:pPr>
              <w:pStyle w:val="TableParagraph"/>
              <w:spacing w:line="233" w:lineRule="exact" w:before="17"/>
              <w:ind w:right="97"/>
              <w:rPr>
                <w:rFonts w:ascii="Times New Roman"/>
                <w:b/>
                <w:sz w:val="22"/>
              </w:rPr>
            </w:pPr>
            <w:r>
              <w:rPr>
                <w:rFonts w:ascii="Times New Roman"/>
                <w:b/>
                <w:sz w:val="22"/>
              </w:rPr>
              <w:t>6.564.970,31</w:t>
            </w:r>
          </w:p>
        </w:tc>
        <w:tc>
          <w:tcPr>
            <w:tcW w:w="1600" w:type="dxa"/>
          </w:tcPr>
          <w:p>
            <w:pPr>
              <w:pStyle w:val="TableParagraph"/>
              <w:spacing w:line="236" w:lineRule="exact" w:before="15"/>
              <w:ind w:right="96"/>
              <w:rPr>
                <w:rFonts w:ascii="Times New Roman"/>
                <w:b/>
                <w:sz w:val="22"/>
              </w:rPr>
            </w:pPr>
            <w:r>
              <w:rPr>
                <w:rFonts w:ascii="Times New Roman"/>
                <w:b/>
                <w:sz w:val="22"/>
              </w:rPr>
              <w:t>20.418.660,87</w:t>
            </w:r>
          </w:p>
        </w:tc>
        <w:tc>
          <w:tcPr>
            <w:tcW w:w="1658" w:type="dxa"/>
          </w:tcPr>
          <w:p>
            <w:pPr>
              <w:pStyle w:val="TableParagraph"/>
              <w:spacing w:line="236" w:lineRule="exact" w:before="15"/>
              <w:ind w:right="197"/>
              <w:rPr>
                <w:rFonts w:ascii="Times New Roman"/>
                <w:b/>
                <w:sz w:val="22"/>
              </w:rPr>
            </w:pPr>
            <w:r>
              <w:rPr>
                <w:rFonts w:ascii="Times New Roman"/>
                <w:b/>
                <w:sz w:val="22"/>
              </w:rPr>
              <w:t>6.305.627,45</w:t>
            </w:r>
          </w:p>
        </w:tc>
        <w:tc>
          <w:tcPr>
            <w:tcW w:w="756" w:type="dxa"/>
          </w:tcPr>
          <w:p>
            <w:pPr>
              <w:pStyle w:val="TableParagraph"/>
              <w:spacing w:line="233" w:lineRule="exact" w:before="17"/>
              <w:ind w:right="118"/>
              <w:rPr>
                <w:rFonts w:ascii="Times New Roman"/>
                <w:b/>
                <w:sz w:val="22"/>
              </w:rPr>
            </w:pPr>
            <w:r>
              <w:rPr>
                <w:rFonts w:ascii="Times New Roman"/>
                <w:b/>
                <w:sz w:val="22"/>
              </w:rPr>
              <w:t>96,05</w:t>
            </w:r>
          </w:p>
        </w:tc>
        <w:tc>
          <w:tcPr>
            <w:tcW w:w="749" w:type="dxa"/>
          </w:tcPr>
          <w:p>
            <w:pPr>
              <w:pStyle w:val="TableParagraph"/>
              <w:spacing w:line="233" w:lineRule="exact" w:before="17"/>
              <w:ind w:right="115"/>
              <w:rPr>
                <w:rFonts w:ascii="Times New Roman"/>
                <w:b/>
                <w:sz w:val="22"/>
              </w:rPr>
            </w:pPr>
            <w:r>
              <w:rPr>
                <w:rFonts w:ascii="Times New Roman"/>
                <w:b/>
                <w:sz w:val="22"/>
              </w:rPr>
              <w:t>30,88</w:t>
            </w:r>
          </w:p>
        </w:tc>
        <w:tc>
          <w:tcPr>
            <w:tcW w:w="792" w:type="dxa"/>
          </w:tcPr>
          <w:p>
            <w:pPr>
              <w:pStyle w:val="TableParagraph"/>
              <w:spacing w:line="233" w:lineRule="exact" w:before="17"/>
              <w:ind w:right="108"/>
              <w:rPr>
                <w:rFonts w:ascii="Times New Roman"/>
                <w:b/>
                <w:sz w:val="22"/>
              </w:rPr>
            </w:pPr>
            <w:r>
              <w:rPr>
                <w:rFonts w:ascii="Times New Roman"/>
                <w:b/>
                <w:sz w:val="22"/>
              </w:rPr>
              <w:t>100,00</w:t>
            </w:r>
          </w:p>
        </w:tc>
      </w:tr>
    </w:tbl>
    <w:p>
      <w:pPr>
        <w:pStyle w:val="BodyText"/>
        <w:spacing w:before="3"/>
        <w:rPr>
          <w:sz w:val="23"/>
        </w:rPr>
      </w:pPr>
    </w:p>
    <w:p>
      <w:pPr>
        <w:pStyle w:val="BodyText"/>
        <w:ind w:left="1256" w:right="1394"/>
        <w:jc w:val="both"/>
      </w:pPr>
      <w:r>
        <w:rPr>
          <w:b/>
        </w:rPr>
        <w:t>Rashodi poslovanja</w:t>
      </w:r>
      <w:r>
        <w:rPr/>
        <w:t>- ostvareni su u iznosu od 5.373.775,76 kn što je za 4,46% manje od rashoda poslovanja ostvarenih u prvom polugodištu prethodne godine. U odnosu na godišnji plan za 2014. godinu, ostvarenje rashoda poslovanja iznosi 42,98%. Imaju udio od 85,22% u ukupno ostvarenim rashodima i izdacima, a čine ih:</w:t>
      </w:r>
    </w:p>
    <w:p>
      <w:pPr>
        <w:pStyle w:val="BodyText"/>
        <w:spacing w:before="2"/>
      </w:pPr>
    </w:p>
    <w:p>
      <w:pPr>
        <w:pStyle w:val="ListParagraph"/>
        <w:numPr>
          <w:ilvl w:val="0"/>
          <w:numId w:val="3"/>
        </w:numPr>
        <w:tabs>
          <w:tab w:pos="1616" w:val="left" w:leader="none"/>
        </w:tabs>
        <w:spacing w:line="240" w:lineRule="auto" w:before="0" w:after="0"/>
        <w:ind w:left="1616" w:right="1392" w:hanging="360"/>
        <w:jc w:val="both"/>
        <w:rPr>
          <w:sz w:val="24"/>
        </w:rPr>
      </w:pPr>
      <w:r>
        <w:rPr>
          <w:b/>
          <w:sz w:val="24"/>
          <w:u w:val="thick"/>
        </w:rPr>
        <w:t>Rashodi za zaposlene</w:t>
      </w:r>
      <w:r>
        <w:rPr>
          <w:b/>
          <w:sz w:val="24"/>
        </w:rPr>
        <w:t> </w:t>
      </w:r>
      <w:r>
        <w:rPr>
          <w:sz w:val="24"/>
        </w:rPr>
        <w:t>– čine 30,78% ukupnih rashoda. Ostvareni su u iznosu od 1.940.792,86 kn, što predstavlja ostvarenje od 43,49% u odnosu na godišnji plan. U odnosu na isto razdoblje prethodne godine, rashodi za zaposlene umanjili su se za 5,46%. Najveći udio u rashodima za zaposlene imaju troškovi bruto plaća radnika, za koje je u prvom polugodištu 2014. godine izdvojeno 1.637.637,24 kn (43,77% godišnjeg plana), zatim slijede rashodi za doprinose na plaće, koji su ostvareni u iznosu od 264.995,24 kn (46,49% godišnjeg plana), te ostali rashodi za zaposlene (nagrade, darovi, naknade za bolovanje duže od 42 dana i sl.) za koje je izdvojeno 38.160,38 kn (25,32% godišnjeg plana).</w:t>
      </w:r>
    </w:p>
    <w:p>
      <w:pPr>
        <w:pStyle w:val="Heading1"/>
        <w:spacing w:before="2"/>
        <w:ind w:left="1616" w:right="1393" w:firstLine="348"/>
        <w:jc w:val="both"/>
      </w:pPr>
      <w:r>
        <w:rPr/>
        <w:t>Od ukupnih rashoda za zaposlene, na rashode zaposlenih u Gradskoj upravi odnosi se iznos od 863.845,95 kn, na rashode za zaposlene u Dječjem vrtiću i jaslicama „Zvončić“ odnosi se iznos od 909.403,55 kn, na zaposlene u Gradskoj knjižnici i čitaonici Ivan Belostenac odnosi se iznos od 93.635,66 kn, a na zaposlene u Zavičajnom muzeju odnosi se iznos od 73.907,70 kn.</w:t>
      </w:r>
    </w:p>
    <w:p>
      <w:pPr>
        <w:spacing w:after="0"/>
        <w:jc w:val="both"/>
        <w:sectPr>
          <w:pgSz w:w="11910" w:h="16840"/>
          <w:pgMar w:header="0" w:footer="769" w:top="980" w:bottom="980" w:left="160" w:right="20"/>
        </w:sectPr>
      </w:pPr>
    </w:p>
    <w:p>
      <w:pPr>
        <w:pStyle w:val="ListParagraph"/>
        <w:numPr>
          <w:ilvl w:val="0"/>
          <w:numId w:val="3"/>
        </w:numPr>
        <w:tabs>
          <w:tab w:pos="1616" w:val="left" w:leader="none"/>
        </w:tabs>
        <w:spacing w:line="237" w:lineRule="auto" w:before="92" w:after="0"/>
        <w:ind w:left="1616" w:right="1393" w:hanging="360"/>
        <w:jc w:val="both"/>
        <w:rPr>
          <w:sz w:val="24"/>
        </w:rPr>
      </w:pPr>
      <w:r>
        <w:rPr>
          <w:b/>
          <w:sz w:val="24"/>
          <w:u w:val="thick"/>
        </w:rPr>
        <w:t>Materijalni rashodi</w:t>
      </w:r>
      <w:r>
        <w:rPr>
          <w:b/>
          <w:sz w:val="24"/>
        </w:rPr>
        <w:t> </w:t>
      </w:r>
      <w:r>
        <w:rPr>
          <w:sz w:val="24"/>
        </w:rPr>
        <w:t>- čine 39,71% ukupno ostvarenih rashoda. Ostvareni su u iznosu od 2.504.140,71 kn te ostvarenje iznosi 42,26%. U odnosu na isto razdoblje prethodne godine, materijalni rashodi su se umanjili za</w:t>
      </w:r>
      <w:r>
        <w:rPr>
          <w:spacing w:val="-1"/>
          <w:sz w:val="24"/>
        </w:rPr>
        <w:t> </w:t>
      </w:r>
      <w:r>
        <w:rPr>
          <w:sz w:val="24"/>
        </w:rPr>
        <w:t>13,74%.</w:t>
      </w:r>
    </w:p>
    <w:p>
      <w:pPr>
        <w:pStyle w:val="BodyText"/>
        <w:spacing w:before="3"/>
        <w:ind w:left="1616" w:right="1391" w:firstLine="348"/>
        <w:jc w:val="both"/>
      </w:pPr>
      <w:r>
        <w:rPr/>
        <w:t>Unutar ukupnih materijalnih rashoda najveći udio imaju </w:t>
      </w:r>
      <w:r>
        <w:rPr>
          <w:b/>
          <w:u w:val="thick"/>
        </w:rPr>
        <w:t>rashodi za usluge</w:t>
      </w:r>
      <w:r>
        <w:rPr>
          <w:b/>
        </w:rPr>
        <w:t> </w:t>
      </w:r>
      <w:r>
        <w:rPr/>
        <w:t>za koje je izdvojeno </w:t>
      </w:r>
      <w:r>
        <w:rPr>
          <w:b/>
        </w:rPr>
        <w:t>1.204.457,04 </w:t>
      </w:r>
      <w:r>
        <w:rPr/>
        <w:t>kn. U odnosu na prvu polovicu prethodne godine, rashodi za usluge umanjili su za 30,34%. Ostvarenje u odnosu na godišnji plan iznosi 36,33%. Najveća stavka unutar rashoda za usluge odnosi se na </w:t>
      </w:r>
      <w:r>
        <w:rPr>
          <w:b/>
        </w:rPr>
        <w:t>usluge tekućeg i investicijskog održavanja </w:t>
      </w:r>
      <w:r>
        <w:rPr/>
        <w:t>za koje je izdvojeno </w:t>
      </w:r>
      <w:r>
        <w:rPr>
          <w:b/>
        </w:rPr>
        <w:t>604.431,47 </w:t>
      </w:r>
      <w:r>
        <w:rPr/>
        <w:t>kn. Od navedenog iznosa, dio od 184.211,33 kn odnosi se na usluge održavanja nerazvrstanih cesta, dio od 78.276,25 kn odnosi se na održavanje javne rasvjete, dio od 3.447,18 kn odnosi se na usluge održavanja kanala za odvodnju atmosferskih voda, dio od 19.452,55 kn odnosi se na usluge održavanja vezane za objekte na grobljima, dio od 14.985,83 odnosi se na održavanje objekata i opreme u vlasništvu Grada, dio od 30.698,95 kn odnosi se na usluge održavanja objekata koje koriste proračunski korisnici, dio od 219.278,13 kn odnosi se na troškove koncesionara za održavanje cesta u zimskim uvjetima, a dio od 54.081,25 kn odnosi se na troškove nabave sipine i soli za posipavanje cesta u zimskim uvjetima te na troškove ostalih usluga za održavanje javnih površina (rušenje borova na „Bikovom brdu“, obrezivanje stabala, sjača i izvlačenje drvne mase sa javnih površina, uređenje okoliša uz nerazvrstane ceste, izrada i postavljanje jarbola za zastave i sl.). Na </w:t>
      </w:r>
      <w:r>
        <w:rPr>
          <w:b/>
        </w:rPr>
        <w:t>intelektualne i osobne usluge, </w:t>
      </w:r>
      <w:r>
        <w:rPr/>
        <w:t>u prvoj polovici 2014. godine, utrošeno je </w:t>
      </w:r>
      <w:r>
        <w:rPr>
          <w:b/>
        </w:rPr>
        <w:t>304.317,88 </w:t>
      </w:r>
      <w:r>
        <w:rPr/>
        <w:t>kn. Od navedenog iznosa, dio od 43.698,04 kn odnosi se na troškove intelektualnih usluga za potrebe Gradske knjižnice i čitaonice I.Belostenca (troškovi žirija kod odabira najljepše kratke ljubavne priče inspirirane pričom Petra Zrinskog ženi Katarini uoči njegovog smaknuća), dio od 8.831,85 kn odnosi se na troškove intelektualnih usluga za potrebe Zavičajnog muzeja Ozalj (usluge studentskog servisa i sl.), dio u iznosu od 12.500,00 kn odnosi se na izradu projektne dokumentacije (idejnih rješenja), dio od 38.928,21 kn odnosi se na geodetsko katastarske usluge, dio od 26.800,00 odnosi se na troškove izrade energetskog certifikata, dio od 4.615,33 kn odnosi se na troškove intelektualnih usluga za potrebe gradske uprave (naplata poreza od strane Porezne uprave), dio od 3.194,45 kn odnosi se na usluge po ugovorima o djelu, a dio od 165.750,00 odnosi se na konzultantske usluge vezane za projekte. Za </w:t>
      </w:r>
      <w:r>
        <w:rPr>
          <w:b/>
        </w:rPr>
        <w:t>komunalne usluge, </w:t>
      </w:r>
      <w:r>
        <w:rPr/>
        <w:t>u prvoj polovici 2014. godine, je izdvojeno </w:t>
      </w:r>
      <w:r>
        <w:rPr>
          <w:b/>
        </w:rPr>
        <w:t>120.266,66 </w:t>
      </w:r>
      <w:r>
        <w:rPr/>
        <w:t>kn. Isto se u dijelu od 52.727,95 kn odnosi na naknadu za odlaganje otpada na deponiji „Ilovac“ te na troškove sanacije divljih deponija, dio od 15.850,91 kn odnosi se na grijanje zgrade Kurilovac 1, dio od 27.186,24 odnosi se na troškove pričuve, a dio od 24.501,56 kn odnosi se na usluge opskrbe vodom, odvoza smeća i ostalih komunalnih usluga Gradske uprave i proračunskih korisnika. </w:t>
      </w:r>
      <w:r>
        <w:rPr>
          <w:b/>
        </w:rPr>
        <w:t>Usluge promiđžbe i informiranja</w:t>
      </w:r>
      <w:r>
        <w:rPr/>
        <w:t>, za koje je u prvoj polovici 2014. godine izdvojeno </w:t>
      </w:r>
      <w:r>
        <w:rPr>
          <w:b/>
        </w:rPr>
        <w:t>9.393,90 </w:t>
      </w:r>
      <w:r>
        <w:rPr/>
        <w:t>kn, odnose se na troškove raspisivanja natječaja i poziva na nadmetanje u javnim glasilima. Gradska uprava i proračunski korisnici su u prvoj  polovici 2014. godine z</w:t>
      </w:r>
      <w:r>
        <w:rPr>
          <w:b/>
        </w:rPr>
        <w:t>a usluge telefona, pošte i prijevoza </w:t>
      </w:r>
      <w:r>
        <w:rPr/>
        <w:t>utrošili </w:t>
      </w:r>
      <w:r>
        <w:rPr>
          <w:b/>
        </w:rPr>
        <w:t>41.108,03 </w:t>
      </w:r>
      <w:r>
        <w:rPr/>
        <w:t>kn, </w:t>
      </w:r>
      <w:r>
        <w:rPr>
          <w:b/>
        </w:rPr>
        <w:t>za računalne usluge 24.047,39 </w:t>
      </w:r>
      <w:r>
        <w:rPr/>
        <w:t>kn </w:t>
      </w:r>
      <w:r>
        <w:rPr>
          <w:b/>
        </w:rPr>
        <w:t>te za ostale usluge 44.166,48 </w:t>
      </w:r>
      <w:r>
        <w:rPr/>
        <w:t>kn (usluge uvezivanja, registracije i sl.). Z</w:t>
      </w:r>
      <w:r>
        <w:rPr>
          <w:b/>
        </w:rPr>
        <w:t>a zdravstvene i veterinarske usluge </w:t>
      </w:r>
      <w:r>
        <w:rPr/>
        <w:t>izdvojeno je </w:t>
      </w:r>
      <w:r>
        <w:rPr>
          <w:b/>
        </w:rPr>
        <w:t>16.725,23</w:t>
      </w:r>
      <w:r>
        <w:rPr>
          <w:b/>
          <w:spacing w:val="-5"/>
        </w:rPr>
        <w:t> </w:t>
      </w:r>
      <w:r>
        <w:rPr/>
        <w:t>kn.</w:t>
      </w:r>
    </w:p>
    <w:p>
      <w:pPr>
        <w:pStyle w:val="BodyText"/>
        <w:spacing w:before="1"/>
        <w:ind w:left="1616" w:right="1393" w:firstLine="348"/>
        <w:jc w:val="both"/>
      </w:pPr>
      <w:r>
        <w:rPr/>
        <w:t>Drugi po veličini rashodi unutar materijalnih rashoda su </w:t>
      </w:r>
      <w:r>
        <w:rPr>
          <w:b/>
          <w:u w:val="thick"/>
        </w:rPr>
        <w:t>rashodi za materijal i</w:t>
      </w:r>
      <w:r>
        <w:rPr>
          <w:b/>
        </w:rPr>
        <w:t> </w:t>
      </w:r>
      <w:r>
        <w:rPr>
          <w:b/>
          <w:u w:val="thick"/>
        </w:rPr>
        <w:t>energiju.</w:t>
      </w:r>
      <w:r>
        <w:rPr>
          <w:b/>
        </w:rPr>
        <w:t> </w:t>
      </w:r>
      <w:r>
        <w:rPr/>
        <w:t>Ostvareni su u iznosu od </w:t>
      </w:r>
      <w:r>
        <w:rPr>
          <w:b/>
        </w:rPr>
        <w:t>850.628,10 </w:t>
      </w:r>
      <w:r>
        <w:rPr/>
        <w:t>kn (izvršenje: 48,89%), od čega je najviše izdvojeno za energiju: 526.442,90 kn (432.214,23 kn za električnu energiju, 94.228,67 kn za motorni benzin, lož ulje i drva za grijanje). Za uredski materijal i ostale materijalne rashode (literatura, sredstva za čišćenje, materijal za higijenske potrebe) utrošeno je 77.738,32 kn, za materijal i djelove za tekuće i investicijsko održavanje (nerazvrstanih cesta, zelenih površina, opreme, transportnih sredstava) utrošeno je 47.739,67 kn, za namirnice u dječjem vrtiću utrošeno je 178.169,89 kn, za nabavu trgovačke robe u Zavičajnom muzeju Ozalj utrošeno je 2.955,00 kn, za sitni inventar i autogume je  utrošeno 10.072,62 kn, a za službenu obuću i odjeću je utrošeno 7.509,70</w:t>
      </w:r>
      <w:r>
        <w:rPr>
          <w:spacing w:val="-6"/>
        </w:rPr>
        <w:t> </w:t>
      </w:r>
      <w:r>
        <w:rPr/>
        <w:t>kn.</w:t>
      </w:r>
    </w:p>
    <w:p>
      <w:pPr>
        <w:spacing w:line="240" w:lineRule="auto" w:before="0"/>
        <w:ind w:left="1616" w:right="1393" w:firstLine="348"/>
        <w:jc w:val="both"/>
        <w:rPr>
          <w:rFonts w:ascii="Times New Roman" w:hAnsi="Times New Roman"/>
          <w:sz w:val="24"/>
        </w:rPr>
      </w:pPr>
      <w:r>
        <w:rPr>
          <w:rFonts w:ascii="Times New Roman" w:hAnsi="Times New Roman"/>
          <w:b/>
          <w:sz w:val="24"/>
          <w:u w:val="thick"/>
        </w:rPr>
        <w:t>Naknade troškova zaposlenima</w:t>
      </w:r>
      <w:r>
        <w:rPr>
          <w:rFonts w:ascii="Times New Roman" w:hAnsi="Times New Roman"/>
          <w:b/>
          <w:sz w:val="24"/>
        </w:rPr>
        <w:t> </w:t>
      </w:r>
      <w:r>
        <w:rPr>
          <w:rFonts w:ascii="Times New Roman" w:hAnsi="Times New Roman"/>
          <w:sz w:val="24"/>
        </w:rPr>
        <w:t>iznosile su u prvoj polovici 2014. godine </w:t>
      </w:r>
      <w:r>
        <w:rPr>
          <w:rFonts w:ascii="Times New Roman" w:hAnsi="Times New Roman"/>
          <w:b/>
          <w:sz w:val="24"/>
        </w:rPr>
        <w:t>141.433,50 </w:t>
      </w:r>
      <w:r>
        <w:rPr>
          <w:rFonts w:ascii="Times New Roman" w:hAnsi="Times New Roman"/>
          <w:sz w:val="24"/>
        </w:rPr>
        <w:t>kn (izvršenje:40,29%). Unutar naknada troškova zaposlenima najveći se dio, 119.729,50</w:t>
      </w:r>
    </w:p>
    <w:p>
      <w:pPr>
        <w:spacing w:after="0" w:line="240" w:lineRule="auto"/>
        <w:jc w:val="both"/>
        <w:rPr>
          <w:rFonts w:ascii="Times New Roman" w:hAnsi="Times New Roman"/>
          <w:sz w:val="24"/>
        </w:rPr>
        <w:sectPr>
          <w:pgSz w:w="11910" w:h="16840"/>
          <w:pgMar w:header="0" w:footer="769" w:top="880" w:bottom="980" w:left="160" w:right="20"/>
        </w:sectPr>
      </w:pPr>
    </w:p>
    <w:p>
      <w:pPr>
        <w:pStyle w:val="BodyText"/>
        <w:spacing w:before="68"/>
        <w:ind w:left="1616" w:right="1392"/>
        <w:jc w:val="both"/>
      </w:pPr>
      <w:r>
        <w:rPr/>
        <w:t>kn, odnosi na </w:t>
      </w:r>
      <w:r>
        <w:rPr>
          <w:b/>
        </w:rPr>
        <w:t>naknade za prijevoz na posao i s posla. O</w:t>
      </w:r>
      <w:r>
        <w:rPr/>
        <w:t>d navedenog se iznosa na naknade zaposlenima u gradskoj upravi odnosi iznos od 37.663,50 kn, na naknade zaposlenima u dječjem vrtiću i jaslicama Zvončić odnosi se dio od 75.043,00 kn, a na naknade zaposlenim u Zavičajnom muzeju odnosi se iznos od 7.023,00 kn. </w:t>
      </w:r>
      <w:r>
        <w:rPr>
          <w:b/>
        </w:rPr>
        <w:t>Za rashode  za službena putovanja </w:t>
      </w:r>
      <w:r>
        <w:rPr/>
        <w:t>je izdvojeno 19.104,00 kn, od čega se na zaposlenike gradske uprave odnosi iznos od 16.030,00 kn, na zaposlenike dječjeg vrtića odnosi se iznos od 1.793,00 kn, a na zaposlenike knjižnice i muzeja iznos od 941,00 kn. </w:t>
      </w:r>
      <w:r>
        <w:rPr>
          <w:b/>
        </w:rPr>
        <w:t>Za stručno usavršavanje zaposlenika </w:t>
      </w:r>
      <w:r>
        <w:rPr/>
        <w:t>izdvojeno je 2.600,00 kn od čega se na zaposlenike gradske uprave odnosi iznos od 600,00 kn, a na zaposlenike vrtića 2.000,00</w:t>
      </w:r>
      <w:r>
        <w:rPr>
          <w:spacing w:val="-8"/>
        </w:rPr>
        <w:t> </w:t>
      </w:r>
      <w:r>
        <w:rPr/>
        <w:t>kn.</w:t>
      </w:r>
    </w:p>
    <w:p>
      <w:pPr>
        <w:spacing w:before="0"/>
        <w:ind w:left="1683" w:right="1391" w:firstLine="0"/>
        <w:jc w:val="both"/>
        <w:rPr>
          <w:rFonts w:ascii="Times New Roman" w:hAnsi="Times New Roman"/>
          <w:sz w:val="24"/>
        </w:rPr>
      </w:pPr>
      <w:r>
        <w:rPr>
          <w:rFonts w:ascii="Times New Roman" w:hAnsi="Times New Roman"/>
          <w:b/>
          <w:sz w:val="24"/>
          <w:u w:val="thick"/>
        </w:rPr>
        <w:t>Za ostale nespomenute rashode poslovanja</w:t>
      </w:r>
      <w:r>
        <w:rPr>
          <w:rFonts w:ascii="Times New Roman" w:hAnsi="Times New Roman"/>
          <w:b/>
          <w:sz w:val="24"/>
        </w:rPr>
        <w:t> </w:t>
      </w:r>
      <w:r>
        <w:rPr>
          <w:rFonts w:ascii="Times New Roman" w:hAnsi="Times New Roman"/>
          <w:sz w:val="24"/>
        </w:rPr>
        <w:t>je u prvoj polovici 2014. godine izdvojeno </w:t>
      </w:r>
      <w:r>
        <w:rPr>
          <w:rFonts w:ascii="Times New Roman" w:hAnsi="Times New Roman"/>
          <w:b/>
          <w:sz w:val="24"/>
        </w:rPr>
        <w:t>272.529,16 </w:t>
      </w:r>
      <w:r>
        <w:rPr>
          <w:rFonts w:ascii="Times New Roman" w:hAnsi="Times New Roman"/>
          <w:sz w:val="24"/>
        </w:rPr>
        <w:t>kn (61,70% plana). Najvećim se dijelom odnose na </w:t>
      </w:r>
      <w:r>
        <w:rPr>
          <w:rFonts w:ascii="Times New Roman" w:hAnsi="Times New Roman"/>
          <w:b/>
          <w:sz w:val="24"/>
        </w:rPr>
        <w:t>naknade za rad predstavničkih i izvršnih tijela </w:t>
      </w:r>
      <w:r>
        <w:rPr>
          <w:rFonts w:ascii="Times New Roman" w:hAnsi="Times New Roman"/>
          <w:sz w:val="24"/>
        </w:rPr>
        <w:t>(156.700,76 kn), na </w:t>
      </w:r>
      <w:r>
        <w:rPr>
          <w:rFonts w:ascii="Times New Roman" w:hAnsi="Times New Roman"/>
          <w:b/>
          <w:sz w:val="24"/>
        </w:rPr>
        <w:t>reprezentaciju </w:t>
      </w:r>
      <w:r>
        <w:rPr>
          <w:rFonts w:ascii="Times New Roman" w:hAnsi="Times New Roman"/>
          <w:sz w:val="24"/>
        </w:rPr>
        <w:t>(39.638,78 kn) te na </w:t>
      </w:r>
      <w:r>
        <w:rPr>
          <w:rFonts w:ascii="Times New Roman" w:hAnsi="Times New Roman"/>
          <w:b/>
          <w:sz w:val="24"/>
        </w:rPr>
        <w:t>ostale nespomenute rashode poslovanja </w:t>
      </w:r>
      <w:r>
        <w:rPr>
          <w:rFonts w:ascii="Times New Roman" w:hAnsi="Times New Roman"/>
          <w:sz w:val="24"/>
        </w:rPr>
        <w:t>(49.707,07 kn) gdje ulaze, troškovi rashoda protokola (1.408,00 kn) i ostali nespomenuti rashodi poslovanja-vodni doprinos, sudske pristojbe, naknada za uređenje voda (48.299,07 kn). Na rashode za plaćanje </w:t>
      </w:r>
      <w:r>
        <w:rPr>
          <w:rFonts w:ascii="Times New Roman" w:hAnsi="Times New Roman"/>
          <w:b/>
          <w:sz w:val="24"/>
        </w:rPr>
        <w:t>premija osiguranja </w:t>
      </w:r>
      <w:r>
        <w:rPr>
          <w:rFonts w:ascii="Times New Roman" w:hAnsi="Times New Roman"/>
          <w:sz w:val="24"/>
        </w:rPr>
        <w:t>utrošeno je 10.164,47 kn, na </w:t>
      </w:r>
      <w:r>
        <w:rPr>
          <w:rFonts w:ascii="Times New Roman" w:hAnsi="Times New Roman"/>
          <w:b/>
          <w:sz w:val="24"/>
        </w:rPr>
        <w:t>članarine </w:t>
      </w:r>
      <w:r>
        <w:rPr>
          <w:rFonts w:ascii="Times New Roman" w:hAnsi="Times New Roman"/>
          <w:sz w:val="24"/>
        </w:rPr>
        <w:t>(u Udruzi Gradova i LAG-u) je utrošeno 11.964,08 kn, a za </w:t>
      </w:r>
      <w:r>
        <w:rPr>
          <w:rFonts w:ascii="Times New Roman" w:hAnsi="Times New Roman"/>
          <w:b/>
          <w:sz w:val="24"/>
        </w:rPr>
        <w:t>pristojbe i naknade </w:t>
      </w:r>
      <w:r>
        <w:rPr>
          <w:rFonts w:ascii="Times New Roman" w:hAnsi="Times New Roman"/>
          <w:sz w:val="24"/>
        </w:rPr>
        <w:t>je izdvojeno 4.354,00 kn.</w:t>
      </w:r>
    </w:p>
    <w:p>
      <w:pPr>
        <w:pStyle w:val="BodyText"/>
        <w:ind w:left="1683" w:right="1394"/>
        <w:jc w:val="both"/>
      </w:pPr>
      <w:r>
        <w:rPr>
          <w:b/>
          <w:u w:val="thick"/>
        </w:rPr>
        <w:t>Naknade troškova osobama izvan radnog odnosa</w:t>
      </w:r>
      <w:r>
        <w:rPr>
          <w:b/>
        </w:rPr>
        <w:t> </w:t>
      </w:r>
      <w:r>
        <w:rPr/>
        <w:t>u prvoj polovici 2014. godine iznosile su 35.092,91 kn, a iste se odnose na doprinose za volontere koji su na stručnom osposobljavanju bez zasnivanja radnog odnosa u Gradskoj upravi i kod proračunskih korisnika.</w:t>
      </w:r>
    </w:p>
    <w:p>
      <w:pPr>
        <w:pStyle w:val="ListParagraph"/>
        <w:numPr>
          <w:ilvl w:val="0"/>
          <w:numId w:val="3"/>
        </w:numPr>
        <w:tabs>
          <w:tab w:pos="1540" w:val="left" w:leader="none"/>
        </w:tabs>
        <w:spacing w:line="240" w:lineRule="auto" w:before="2" w:after="0"/>
        <w:ind w:left="1616" w:right="1392" w:hanging="360"/>
        <w:jc w:val="both"/>
        <w:rPr>
          <w:sz w:val="24"/>
        </w:rPr>
      </w:pPr>
      <w:r>
        <w:rPr>
          <w:b/>
          <w:sz w:val="24"/>
          <w:u w:val="thick"/>
        </w:rPr>
        <w:t>Financijski rashodi</w:t>
      </w:r>
      <w:r>
        <w:rPr>
          <w:b/>
          <w:sz w:val="24"/>
        </w:rPr>
        <w:t> </w:t>
      </w:r>
      <w:r>
        <w:rPr>
          <w:sz w:val="24"/>
        </w:rPr>
        <w:t>– čine 0,88% ukupnih rashoda, a ostvareni su u iznosu od 55.710,63 kn (izvršenje: 41,58%). Odnose se, u iznosu od 44.000,00 kn na naknadu za odobrenje kredita za izgradnju uređaja za pročišćavanje otpadnih voda, na usluge platnog prometa za što je izdvojeno 11.702,72 kn, te na zatezne kamate u iznosu od 7,91 kn. U odnosu na prethodnu godinu, ovi rashodi bilježe rast od 221,13%.</w:t>
      </w:r>
    </w:p>
    <w:p>
      <w:pPr>
        <w:pStyle w:val="ListParagraph"/>
        <w:numPr>
          <w:ilvl w:val="0"/>
          <w:numId w:val="3"/>
        </w:numPr>
        <w:tabs>
          <w:tab w:pos="1540" w:val="left" w:leader="none"/>
        </w:tabs>
        <w:spacing w:line="240" w:lineRule="auto" w:before="0" w:after="0"/>
        <w:ind w:left="1539" w:right="1393" w:hanging="284"/>
        <w:jc w:val="both"/>
        <w:rPr>
          <w:sz w:val="24"/>
        </w:rPr>
      </w:pPr>
      <w:r>
        <w:rPr>
          <w:b/>
          <w:sz w:val="24"/>
          <w:u w:val="thick"/>
        </w:rPr>
        <w:t>Rashodi za subvencije</w:t>
      </w:r>
      <w:r>
        <w:rPr>
          <w:b/>
          <w:sz w:val="24"/>
        </w:rPr>
        <w:t> </w:t>
      </w:r>
      <w:r>
        <w:rPr>
          <w:sz w:val="24"/>
        </w:rPr>
        <w:t>– učestvuju u ukupnim rashodima sa 0,13%, a ostvareni su u iznosu od 8.383,65 kn. Na subvencije poljoprivrednicima odnosi se dio od 8.334,54 kn (osiguranje nasada i stoke), a na subvencije kamata po kreditima obrtnika odnosi se 49,11 kn. U odnosu na prethodnu godinu, ovi rashodi bilježe rast od</w:t>
      </w:r>
      <w:r>
        <w:rPr>
          <w:spacing w:val="-3"/>
          <w:sz w:val="24"/>
        </w:rPr>
        <w:t> </w:t>
      </w:r>
      <w:r>
        <w:rPr>
          <w:sz w:val="24"/>
        </w:rPr>
        <w:t>78,86%.</w:t>
      </w:r>
    </w:p>
    <w:p>
      <w:pPr>
        <w:pStyle w:val="ListParagraph"/>
        <w:numPr>
          <w:ilvl w:val="0"/>
          <w:numId w:val="3"/>
        </w:numPr>
        <w:tabs>
          <w:tab w:pos="1616" w:val="left" w:leader="none"/>
        </w:tabs>
        <w:spacing w:line="240" w:lineRule="auto" w:before="0" w:after="0"/>
        <w:ind w:left="1616" w:right="1392" w:hanging="360"/>
        <w:jc w:val="both"/>
        <w:rPr>
          <w:sz w:val="24"/>
        </w:rPr>
      </w:pPr>
      <w:r>
        <w:rPr>
          <w:b/>
          <w:sz w:val="24"/>
          <w:u w:val="thick"/>
        </w:rPr>
        <w:t>Rashodi za naknade građanima i kućanstvima</w:t>
      </w:r>
      <w:r>
        <w:rPr>
          <w:b/>
          <w:sz w:val="24"/>
        </w:rPr>
        <w:t> </w:t>
      </w:r>
      <w:r>
        <w:rPr>
          <w:sz w:val="24"/>
        </w:rPr>
        <w:t>– u prvoj polovici 2014. godine iznosili su 281.055,56 kn (izvršenje: 47,80%), a u ukupnim rashodima imaju udio od 4,46%. U odnosu na isto razdoblje prethodne godine, ovi rashodi bilježe pad od 26,51%. Rashodi </w:t>
      </w:r>
      <w:r>
        <w:rPr>
          <w:spacing w:val="-6"/>
          <w:sz w:val="24"/>
        </w:rPr>
        <w:t>za </w:t>
      </w:r>
      <w:r>
        <w:rPr>
          <w:sz w:val="24"/>
        </w:rPr>
        <w:t>naknade građanima i kućanstvima se u dijelu od 84.620,00 kn odnose na </w:t>
      </w:r>
      <w:r>
        <w:rPr>
          <w:b/>
          <w:sz w:val="24"/>
        </w:rPr>
        <w:t>naknade isplaćene u novcu</w:t>
      </w:r>
      <w:r>
        <w:rPr>
          <w:sz w:val="24"/>
        </w:rPr>
        <w:t>, a u dijelu od 196.435,56 kn na </w:t>
      </w:r>
      <w:r>
        <w:rPr>
          <w:b/>
          <w:sz w:val="24"/>
        </w:rPr>
        <w:t>naknade u naravi. </w:t>
      </w:r>
      <w:r>
        <w:rPr>
          <w:sz w:val="24"/>
        </w:rPr>
        <w:t>Naknade u novcu se odnose na stipendije učenicima i studentima (33.000,00 kn), na naknade za novorođenčad (42.000,00 kn), na troškove rješavanja stambenih pitanja socijalno ugroženog stanovništva (9.620,00 kn). </w:t>
      </w:r>
      <w:r>
        <w:rPr>
          <w:b/>
          <w:sz w:val="24"/>
        </w:rPr>
        <w:t>Naknade isplaćene u naravi </w:t>
      </w:r>
      <w:r>
        <w:rPr>
          <w:sz w:val="24"/>
        </w:rPr>
        <w:t>odnose se na naknade za sufinanciranje prijevoza srednjoškolaca (50.582,74 kn), na naknade za pokriće troškova stanovanja (el. energije i komunalija – 121.105,82 kn), na naknade za pokriće troškova prehrane učenika (20.175,00 kn), te na naknade za financiranje boravka trećeg djeteta u dječjem vrtiću „Zvončić“ (4.572,00</w:t>
      </w:r>
      <w:r>
        <w:rPr>
          <w:spacing w:val="-1"/>
          <w:sz w:val="24"/>
        </w:rPr>
        <w:t> </w:t>
      </w:r>
      <w:r>
        <w:rPr>
          <w:sz w:val="24"/>
        </w:rPr>
        <w:t>kn).</w:t>
      </w:r>
    </w:p>
    <w:p>
      <w:pPr>
        <w:pStyle w:val="ListParagraph"/>
        <w:numPr>
          <w:ilvl w:val="0"/>
          <w:numId w:val="3"/>
        </w:numPr>
        <w:tabs>
          <w:tab w:pos="1684" w:val="left" w:leader="none"/>
        </w:tabs>
        <w:spacing w:line="240" w:lineRule="auto" w:before="0" w:after="0"/>
        <w:ind w:left="1616" w:right="1390" w:hanging="360"/>
        <w:jc w:val="both"/>
        <w:rPr>
          <w:sz w:val="24"/>
        </w:rPr>
      </w:pPr>
      <w:r>
        <w:rPr/>
        <w:tab/>
      </w:r>
      <w:r>
        <w:rPr>
          <w:b/>
          <w:sz w:val="24"/>
          <w:u w:val="thick"/>
        </w:rPr>
        <w:t>Ostali rashodi</w:t>
      </w:r>
      <w:r>
        <w:rPr>
          <w:b/>
          <w:sz w:val="24"/>
        </w:rPr>
        <w:t> </w:t>
      </w:r>
      <w:r>
        <w:rPr>
          <w:sz w:val="24"/>
        </w:rPr>
        <w:t>– odnose se na tekuće donacije u novcu, a ostvareni su u iznosu od 583.692,35 kn, što u odnosu na godišnji plan predstavlja izvršenje od 47,88%. U odnosu na isto razdoblje prethodne godine, ostali rashodi bilježe rast od 121,22%, prvenstveno radi podmirenja cjelokupne obveze za prvih šest mjeseci prema VZGO i ZŠUGO u prvom polugodištu 2014. godine te radi ispunjenja zakonske obveze osiguranja sredstava za rad Gradskog društva Crvenog križa. Ostali rashodi sudjeluju u ukupnim rashodima  sa 9,26%. Pregled korisnika donacija u prvoj polovici 2014. godine, iznosi doniranih sredstava, te svrhe donacija, dat je u slijedećoj</w:t>
      </w:r>
      <w:r>
        <w:rPr>
          <w:spacing w:val="-7"/>
          <w:sz w:val="24"/>
        </w:rPr>
        <w:t> </w:t>
      </w:r>
      <w:r>
        <w:rPr>
          <w:sz w:val="24"/>
        </w:rPr>
        <w:t>tabeli:</w:t>
      </w:r>
    </w:p>
    <w:p>
      <w:pPr>
        <w:pStyle w:val="BodyText"/>
        <w:spacing w:before="2"/>
      </w:pPr>
    </w:p>
    <w:tbl>
      <w:tblPr>
        <w:tblW w:w="0" w:type="auto"/>
        <w:jc w:val="left"/>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3571"/>
        <w:gridCol w:w="1274"/>
        <w:gridCol w:w="5388"/>
      </w:tblGrid>
      <w:tr>
        <w:trPr>
          <w:trHeight w:val="230" w:hRule="atLeast"/>
        </w:trPr>
        <w:tc>
          <w:tcPr>
            <w:tcW w:w="540" w:type="dxa"/>
          </w:tcPr>
          <w:p>
            <w:pPr>
              <w:pStyle w:val="TableParagraph"/>
              <w:spacing w:line="210" w:lineRule="exact" w:before="0"/>
              <w:ind w:left="107"/>
              <w:jc w:val="left"/>
              <w:rPr>
                <w:rFonts w:ascii="Times New Roman"/>
                <w:b/>
                <w:sz w:val="20"/>
              </w:rPr>
            </w:pPr>
            <w:r>
              <w:rPr>
                <w:rFonts w:ascii="Times New Roman"/>
                <w:b/>
                <w:sz w:val="20"/>
              </w:rPr>
              <w:t>R.b</w:t>
            </w:r>
          </w:p>
        </w:tc>
        <w:tc>
          <w:tcPr>
            <w:tcW w:w="3571" w:type="dxa"/>
          </w:tcPr>
          <w:p>
            <w:pPr>
              <w:pStyle w:val="TableParagraph"/>
              <w:spacing w:line="210" w:lineRule="exact" w:before="0"/>
              <w:ind w:left="107"/>
              <w:jc w:val="left"/>
              <w:rPr>
                <w:rFonts w:ascii="Times New Roman"/>
                <w:b/>
                <w:sz w:val="20"/>
              </w:rPr>
            </w:pPr>
            <w:r>
              <w:rPr>
                <w:rFonts w:ascii="Times New Roman"/>
                <w:b/>
                <w:sz w:val="20"/>
              </w:rPr>
              <w:t>KORISNIK DONACIJE</w:t>
            </w:r>
          </w:p>
        </w:tc>
        <w:tc>
          <w:tcPr>
            <w:tcW w:w="1274" w:type="dxa"/>
          </w:tcPr>
          <w:p>
            <w:pPr>
              <w:pStyle w:val="TableParagraph"/>
              <w:spacing w:line="210" w:lineRule="exact" w:before="0"/>
              <w:ind w:left="108"/>
              <w:jc w:val="left"/>
              <w:rPr>
                <w:rFonts w:ascii="Times New Roman"/>
                <w:b/>
                <w:sz w:val="20"/>
              </w:rPr>
            </w:pPr>
            <w:r>
              <w:rPr>
                <w:rFonts w:ascii="Times New Roman"/>
                <w:b/>
                <w:sz w:val="20"/>
              </w:rPr>
              <w:t>IZNOS</w:t>
            </w:r>
          </w:p>
        </w:tc>
        <w:tc>
          <w:tcPr>
            <w:tcW w:w="5388" w:type="dxa"/>
          </w:tcPr>
          <w:p>
            <w:pPr>
              <w:pStyle w:val="TableParagraph"/>
              <w:spacing w:line="210" w:lineRule="exact" w:before="0"/>
              <w:ind w:left="110"/>
              <w:jc w:val="left"/>
              <w:rPr>
                <w:rFonts w:ascii="Times New Roman"/>
                <w:b/>
                <w:sz w:val="20"/>
              </w:rPr>
            </w:pPr>
            <w:r>
              <w:rPr>
                <w:rFonts w:ascii="Times New Roman"/>
                <w:b/>
                <w:sz w:val="20"/>
              </w:rPr>
              <w:t>SVRHA DONACIJE</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1.</w:t>
            </w:r>
          </w:p>
        </w:tc>
        <w:tc>
          <w:tcPr>
            <w:tcW w:w="3571" w:type="dxa"/>
          </w:tcPr>
          <w:p>
            <w:pPr>
              <w:pStyle w:val="TableParagraph"/>
              <w:spacing w:line="210" w:lineRule="exact" w:before="0"/>
              <w:ind w:left="107"/>
              <w:jc w:val="left"/>
              <w:rPr>
                <w:rFonts w:ascii="Times New Roman"/>
                <w:sz w:val="20"/>
              </w:rPr>
            </w:pPr>
            <w:r>
              <w:rPr>
                <w:rFonts w:ascii="Times New Roman"/>
                <w:sz w:val="20"/>
              </w:rPr>
              <w:t>KUD Katarina Zrinski Ozalj</w:t>
            </w:r>
          </w:p>
        </w:tc>
        <w:tc>
          <w:tcPr>
            <w:tcW w:w="1274" w:type="dxa"/>
          </w:tcPr>
          <w:p>
            <w:pPr>
              <w:pStyle w:val="TableParagraph"/>
              <w:spacing w:line="210" w:lineRule="exact" w:before="0"/>
              <w:ind w:left="369"/>
              <w:jc w:val="left"/>
              <w:rPr>
                <w:rFonts w:ascii="Times New Roman"/>
                <w:sz w:val="20"/>
              </w:rPr>
            </w:pPr>
            <w:r>
              <w:rPr>
                <w:rFonts w:ascii="Times New Roman"/>
                <w:sz w:val="20"/>
              </w:rPr>
              <w:t>20.000,00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- 15.000,00 - donacija za troškove redovite djelatnosti</w:t>
            </w:r>
          </w:p>
        </w:tc>
      </w:tr>
    </w:tbl>
    <w:p>
      <w:pPr>
        <w:spacing w:after="0" w:line="210" w:lineRule="exact"/>
        <w:jc w:val="left"/>
        <w:rPr>
          <w:rFonts w:ascii="Times New Roman" w:hAnsi="Times New Roman"/>
          <w:sz w:val="20"/>
        </w:rPr>
        <w:sectPr>
          <w:pgSz w:w="11910" w:h="16840"/>
          <w:pgMar w:header="0" w:footer="769" w:top="900" w:bottom="980" w:left="160" w:right="20"/>
        </w:sectPr>
      </w:pPr>
    </w:p>
    <w:tbl>
      <w:tblPr>
        <w:tblW w:w="0" w:type="auto"/>
        <w:jc w:val="left"/>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3571"/>
        <w:gridCol w:w="1274"/>
        <w:gridCol w:w="5388"/>
      </w:tblGrid>
      <w:tr>
        <w:trPr>
          <w:trHeight w:val="230" w:hRule="atLeast"/>
        </w:trPr>
        <w:tc>
          <w:tcPr>
            <w:tcW w:w="540" w:type="dxa"/>
          </w:tcPr>
          <w:p>
            <w:pPr>
              <w:pStyle w:val="TableParagraph"/>
              <w:spacing w:before="0"/>
              <w:jc w:val="left"/>
              <w:rPr>
                <w:rFonts w:ascii="Times New Roman"/>
                <w:sz w:val="16"/>
              </w:rPr>
            </w:pPr>
          </w:p>
        </w:tc>
        <w:tc>
          <w:tcPr>
            <w:tcW w:w="3571" w:type="dxa"/>
          </w:tcPr>
          <w:p>
            <w:pPr>
              <w:pStyle w:val="TableParagraph"/>
              <w:spacing w:before="0"/>
              <w:jc w:val="left"/>
              <w:rPr>
                <w:rFonts w:ascii="Times New Roman"/>
                <w:sz w:val="16"/>
              </w:rPr>
            </w:pPr>
          </w:p>
        </w:tc>
        <w:tc>
          <w:tcPr>
            <w:tcW w:w="1274" w:type="dxa"/>
          </w:tcPr>
          <w:p>
            <w:pPr>
              <w:pStyle w:val="TableParagraph"/>
              <w:spacing w:before="0"/>
              <w:jc w:val="left"/>
              <w:rPr>
                <w:rFonts w:ascii="Times New Roman"/>
                <w:sz w:val="16"/>
              </w:rPr>
            </w:pP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- 5.000,00 kn – org. manifestacije „Susret KUD-ova 2014.“</w:t>
            </w:r>
          </w:p>
        </w:tc>
      </w:tr>
      <w:tr>
        <w:trPr>
          <w:trHeight w:val="460" w:hRule="atLeast"/>
        </w:trPr>
        <w:tc>
          <w:tcPr>
            <w:tcW w:w="540" w:type="dxa"/>
          </w:tcPr>
          <w:p>
            <w:pPr>
              <w:pStyle w:val="TableParagraph"/>
              <w:spacing w:line="219" w:lineRule="exact" w:before="0"/>
              <w:ind w:left="107"/>
              <w:jc w:val="left"/>
              <w:rPr>
                <w:rFonts w:ascii="Times New Roman"/>
                <w:sz w:val="20"/>
              </w:rPr>
            </w:pPr>
            <w:r>
              <w:rPr>
                <w:rFonts w:ascii="Times New Roman"/>
                <w:sz w:val="20"/>
              </w:rPr>
              <w:t>2.</w:t>
            </w:r>
          </w:p>
        </w:tc>
        <w:tc>
          <w:tcPr>
            <w:tcW w:w="3571" w:type="dxa"/>
          </w:tcPr>
          <w:p>
            <w:pPr>
              <w:pStyle w:val="TableParagraph"/>
              <w:spacing w:line="219" w:lineRule="exact" w:before="0"/>
              <w:ind w:left="107"/>
              <w:jc w:val="left"/>
              <w:rPr>
                <w:rFonts w:ascii="Times New Roman"/>
                <w:sz w:val="20"/>
              </w:rPr>
            </w:pPr>
            <w:r>
              <w:rPr>
                <w:rFonts w:ascii="Times New Roman"/>
                <w:sz w:val="20"/>
              </w:rPr>
              <w:t>Udruga dragovoljaca i veterana</w:t>
            </w:r>
          </w:p>
          <w:p>
            <w:pPr>
              <w:pStyle w:val="TableParagraph"/>
              <w:spacing w:line="221" w:lineRule="exact" w:before="0"/>
              <w:ind w:left="107"/>
              <w:jc w:val="left"/>
              <w:rPr>
                <w:rFonts w:ascii="Times New Roman" w:hAnsi="Times New Roman"/>
                <w:sz w:val="20"/>
              </w:rPr>
            </w:pPr>
            <w:r>
              <w:rPr>
                <w:rFonts w:ascii="Times New Roman" w:hAnsi="Times New Roman"/>
                <w:sz w:val="20"/>
              </w:rPr>
              <w:t>domovinskog rata ( Ozalj – Žakanje )</w:t>
            </w:r>
          </w:p>
        </w:tc>
        <w:tc>
          <w:tcPr>
            <w:tcW w:w="1274" w:type="dxa"/>
          </w:tcPr>
          <w:p>
            <w:pPr>
              <w:pStyle w:val="TableParagraph"/>
              <w:spacing w:line="219" w:lineRule="exact" w:before="0"/>
              <w:ind w:right="92"/>
              <w:rPr>
                <w:rFonts w:ascii="Times New Roman"/>
                <w:sz w:val="20"/>
              </w:rPr>
            </w:pPr>
            <w:r>
              <w:rPr>
                <w:rFonts w:ascii="Times New Roman"/>
                <w:sz w:val="20"/>
              </w:rPr>
              <w:t>6.000,00</w:t>
            </w:r>
          </w:p>
        </w:tc>
        <w:tc>
          <w:tcPr>
            <w:tcW w:w="5388" w:type="dxa"/>
          </w:tcPr>
          <w:p>
            <w:pPr>
              <w:pStyle w:val="TableParagraph"/>
              <w:spacing w:line="219" w:lineRule="exact" w:before="0"/>
              <w:ind w:left="110"/>
              <w:jc w:val="left"/>
              <w:rPr>
                <w:rFonts w:ascii="Times New Roman" w:hAnsi="Times New Roman"/>
                <w:sz w:val="20"/>
              </w:rPr>
            </w:pPr>
            <w:r>
              <w:rPr>
                <w:rFonts w:ascii="Times New Roman" w:hAnsi="Times New Roman"/>
                <w:sz w:val="20"/>
              </w:rPr>
              <w:t>- donacija za troškove redovite djelatnosti</w:t>
            </w:r>
          </w:p>
        </w:tc>
      </w:tr>
      <w:tr>
        <w:trPr>
          <w:trHeight w:val="458" w:hRule="atLeast"/>
        </w:trPr>
        <w:tc>
          <w:tcPr>
            <w:tcW w:w="540" w:type="dxa"/>
          </w:tcPr>
          <w:p>
            <w:pPr>
              <w:pStyle w:val="TableParagraph"/>
              <w:spacing w:line="219" w:lineRule="exact" w:before="0"/>
              <w:ind w:left="107"/>
              <w:jc w:val="left"/>
              <w:rPr>
                <w:rFonts w:ascii="Times New Roman"/>
                <w:sz w:val="20"/>
              </w:rPr>
            </w:pPr>
            <w:r>
              <w:rPr>
                <w:rFonts w:ascii="Times New Roman"/>
                <w:sz w:val="20"/>
              </w:rPr>
              <w:t>3.</w:t>
            </w:r>
          </w:p>
        </w:tc>
        <w:tc>
          <w:tcPr>
            <w:tcW w:w="3571" w:type="dxa"/>
          </w:tcPr>
          <w:p>
            <w:pPr>
              <w:pStyle w:val="TableParagraph"/>
              <w:spacing w:line="219" w:lineRule="exact" w:before="0"/>
              <w:ind w:left="107"/>
              <w:jc w:val="left"/>
              <w:rPr>
                <w:rFonts w:ascii="Times New Roman"/>
                <w:sz w:val="20"/>
              </w:rPr>
            </w:pPr>
            <w:r>
              <w:rPr>
                <w:rFonts w:ascii="Times New Roman"/>
                <w:sz w:val="20"/>
              </w:rPr>
              <w:t>Udruga slijepih Grada Karlovca i</w:t>
            </w:r>
          </w:p>
          <w:p>
            <w:pPr>
              <w:pStyle w:val="TableParagraph"/>
              <w:spacing w:line="219" w:lineRule="exact" w:before="0"/>
              <w:ind w:left="107"/>
              <w:jc w:val="left"/>
              <w:rPr>
                <w:rFonts w:ascii="Times New Roman" w:hAnsi="Times New Roman"/>
                <w:sz w:val="20"/>
              </w:rPr>
            </w:pPr>
            <w:r>
              <w:rPr>
                <w:rFonts w:ascii="Times New Roman" w:hAnsi="Times New Roman"/>
                <w:sz w:val="20"/>
              </w:rPr>
              <w:t>Karlovačke županije „USKA“</w:t>
            </w:r>
          </w:p>
        </w:tc>
        <w:tc>
          <w:tcPr>
            <w:tcW w:w="1274" w:type="dxa"/>
          </w:tcPr>
          <w:p>
            <w:pPr>
              <w:pStyle w:val="TableParagraph"/>
              <w:spacing w:line="219" w:lineRule="exact" w:before="0"/>
              <w:ind w:right="92"/>
              <w:rPr>
                <w:rFonts w:ascii="Times New Roman"/>
                <w:sz w:val="20"/>
              </w:rPr>
            </w:pPr>
            <w:r>
              <w:rPr>
                <w:rFonts w:ascii="Times New Roman"/>
                <w:sz w:val="20"/>
              </w:rPr>
              <w:t>2.000,00</w:t>
            </w:r>
          </w:p>
        </w:tc>
        <w:tc>
          <w:tcPr>
            <w:tcW w:w="5388" w:type="dxa"/>
          </w:tcPr>
          <w:p>
            <w:pPr>
              <w:pStyle w:val="TableParagraph"/>
              <w:spacing w:line="219" w:lineRule="exact" w:before="0"/>
              <w:ind w:left="110"/>
              <w:jc w:val="left"/>
              <w:rPr>
                <w:rFonts w:ascii="Times New Roman" w:hAnsi="Times New Roman"/>
                <w:sz w:val="20"/>
              </w:rPr>
            </w:pPr>
            <w:r>
              <w:rPr>
                <w:rFonts w:ascii="Times New Roman" w:hAnsi="Times New Roman"/>
                <w:sz w:val="20"/>
              </w:rPr>
              <w:t>- donacija za troškove redovite djelatnosti</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4.</w:t>
            </w:r>
          </w:p>
        </w:tc>
        <w:tc>
          <w:tcPr>
            <w:tcW w:w="3571" w:type="dxa"/>
          </w:tcPr>
          <w:p>
            <w:pPr>
              <w:pStyle w:val="TableParagraph"/>
              <w:spacing w:line="210" w:lineRule="exact" w:before="0"/>
              <w:ind w:left="107"/>
              <w:jc w:val="left"/>
              <w:rPr>
                <w:rFonts w:ascii="Times New Roman"/>
                <w:sz w:val="20"/>
              </w:rPr>
            </w:pPr>
            <w:r>
              <w:rPr>
                <w:rFonts w:ascii="Times New Roman"/>
                <w:sz w:val="20"/>
              </w:rPr>
              <w:t>Udruga matice umirovljenika</w:t>
            </w:r>
          </w:p>
        </w:tc>
        <w:tc>
          <w:tcPr>
            <w:tcW w:w="1274" w:type="dxa"/>
          </w:tcPr>
          <w:p>
            <w:pPr>
              <w:pStyle w:val="TableParagraph"/>
              <w:spacing w:line="210" w:lineRule="exact" w:before="0"/>
              <w:ind w:right="92"/>
              <w:rPr>
                <w:rFonts w:ascii="Times New Roman"/>
                <w:sz w:val="20"/>
              </w:rPr>
            </w:pPr>
            <w:r>
              <w:rPr>
                <w:rFonts w:ascii="Times New Roman"/>
                <w:sz w:val="20"/>
              </w:rPr>
              <w:t>8.000,00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troškove redovite djelatnosti</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5.</w:t>
            </w:r>
          </w:p>
        </w:tc>
        <w:tc>
          <w:tcPr>
            <w:tcW w:w="3571" w:type="dxa"/>
          </w:tcPr>
          <w:p>
            <w:pPr>
              <w:pStyle w:val="TableParagraph"/>
              <w:spacing w:line="210" w:lineRule="exact" w:before="0"/>
              <w:ind w:left="107"/>
              <w:jc w:val="left"/>
              <w:rPr>
                <w:rFonts w:ascii="Times New Roman"/>
                <w:sz w:val="20"/>
              </w:rPr>
            </w:pPr>
            <w:r>
              <w:rPr>
                <w:rFonts w:ascii="Times New Roman"/>
                <w:sz w:val="20"/>
              </w:rPr>
              <w:t>Savez samostalnih sindikata Karlovac</w:t>
            </w:r>
          </w:p>
        </w:tc>
        <w:tc>
          <w:tcPr>
            <w:tcW w:w="1274" w:type="dxa"/>
          </w:tcPr>
          <w:p>
            <w:pPr>
              <w:pStyle w:val="TableParagraph"/>
              <w:spacing w:line="210" w:lineRule="exact" w:before="0"/>
              <w:ind w:right="93"/>
              <w:rPr>
                <w:rFonts w:ascii="Times New Roman"/>
                <w:sz w:val="20"/>
              </w:rPr>
            </w:pPr>
            <w:r>
              <w:rPr>
                <w:rFonts w:ascii="Times New Roman"/>
                <w:sz w:val="20"/>
              </w:rPr>
              <w:t>1.000,00</w:t>
            </w:r>
          </w:p>
        </w:tc>
        <w:tc>
          <w:tcPr>
            <w:tcW w:w="5388" w:type="dxa"/>
          </w:tcPr>
          <w:p>
            <w:pPr>
              <w:pStyle w:val="TableParagraph"/>
              <w:spacing w:line="210" w:lineRule="exact" w:before="0"/>
              <w:ind w:left="110"/>
              <w:jc w:val="left"/>
              <w:rPr>
                <w:rFonts w:ascii="Times New Roman"/>
                <w:sz w:val="20"/>
              </w:rPr>
            </w:pPr>
            <w:r>
              <w:rPr>
                <w:rFonts w:ascii="Times New Roman"/>
                <w:sz w:val="20"/>
              </w:rPr>
              <w:t>- organizacija biciklijade na dan 01. svibanj 2014. godine</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6.</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Vijeće mladih Grada Karlovca</w:t>
            </w:r>
          </w:p>
        </w:tc>
        <w:tc>
          <w:tcPr>
            <w:tcW w:w="1274" w:type="dxa"/>
          </w:tcPr>
          <w:p>
            <w:pPr>
              <w:pStyle w:val="TableParagraph"/>
              <w:spacing w:line="210" w:lineRule="exact" w:before="0"/>
              <w:ind w:right="92"/>
              <w:rPr>
                <w:rFonts w:ascii="Times New Roman"/>
                <w:sz w:val="20"/>
              </w:rPr>
            </w:pPr>
            <w:r>
              <w:rPr>
                <w:rFonts w:ascii="Times New Roman"/>
                <w:sz w:val="20"/>
              </w:rPr>
              <w:t>500,00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organizacija „Maturijade“</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7.</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Župa Sv.Lovre Mučenika, Vivodina</w:t>
            </w:r>
          </w:p>
        </w:tc>
        <w:tc>
          <w:tcPr>
            <w:tcW w:w="1274" w:type="dxa"/>
          </w:tcPr>
          <w:p>
            <w:pPr>
              <w:pStyle w:val="TableParagraph"/>
              <w:spacing w:line="210" w:lineRule="exact" w:before="0"/>
              <w:ind w:right="91"/>
              <w:rPr>
                <w:rFonts w:ascii="Times New Roman"/>
                <w:sz w:val="20"/>
              </w:rPr>
            </w:pPr>
            <w:r>
              <w:rPr>
                <w:rFonts w:ascii="Times New Roman"/>
                <w:sz w:val="20"/>
              </w:rPr>
              <w:t>30.000,00</w:t>
            </w:r>
          </w:p>
        </w:tc>
        <w:tc>
          <w:tcPr>
            <w:tcW w:w="5388" w:type="dxa"/>
          </w:tcPr>
          <w:p>
            <w:pPr>
              <w:pStyle w:val="TableParagraph"/>
              <w:spacing w:line="210" w:lineRule="exact" w:before="0"/>
              <w:ind w:left="122"/>
              <w:jc w:val="left"/>
              <w:rPr>
                <w:rFonts w:ascii="Times New Roman" w:hAnsi="Times New Roman"/>
                <w:sz w:val="20"/>
              </w:rPr>
            </w:pPr>
            <w:r>
              <w:rPr>
                <w:rFonts w:ascii="Times New Roman" w:hAnsi="Times New Roman"/>
                <w:sz w:val="20"/>
              </w:rPr>
              <w:t>- sanacija krovišta na crkvi sv. Nikole u Obrežu</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8.</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Hrvatski časnički zbor Grada Ozlja</w:t>
            </w:r>
          </w:p>
        </w:tc>
        <w:tc>
          <w:tcPr>
            <w:tcW w:w="1274" w:type="dxa"/>
          </w:tcPr>
          <w:p>
            <w:pPr>
              <w:pStyle w:val="TableParagraph"/>
              <w:spacing w:line="210" w:lineRule="exact" w:before="0"/>
              <w:ind w:right="92"/>
              <w:rPr>
                <w:rFonts w:ascii="Times New Roman"/>
                <w:sz w:val="20"/>
              </w:rPr>
            </w:pPr>
            <w:r>
              <w:rPr>
                <w:rFonts w:ascii="Times New Roman"/>
                <w:sz w:val="20"/>
              </w:rPr>
              <w:t>4.000,00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troškove redovite djelatnosti</w:t>
            </w:r>
          </w:p>
        </w:tc>
      </w:tr>
      <w:tr>
        <w:trPr>
          <w:trHeight w:val="460" w:hRule="atLeast"/>
        </w:trPr>
        <w:tc>
          <w:tcPr>
            <w:tcW w:w="540" w:type="dxa"/>
          </w:tcPr>
          <w:p>
            <w:pPr>
              <w:pStyle w:val="TableParagraph"/>
              <w:spacing w:line="221" w:lineRule="exact" w:before="0"/>
              <w:ind w:left="107"/>
              <w:jc w:val="left"/>
              <w:rPr>
                <w:rFonts w:ascii="Times New Roman"/>
                <w:sz w:val="20"/>
              </w:rPr>
            </w:pPr>
            <w:r>
              <w:rPr>
                <w:rFonts w:ascii="Times New Roman"/>
                <w:sz w:val="20"/>
              </w:rPr>
              <w:t>9.</w:t>
            </w:r>
          </w:p>
        </w:tc>
        <w:tc>
          <w:tcPr>
            <w:tcW w:w="3571" w:type="dxa"/>
          </w:tcPr>
          <w:p>
            <w:pPr>
              <w:pStyle w:val="TableParagraph"/>
              <w:spacing w:line="221" w:lineRule="exact" w:before="0"/>
              <w:ind w:left="107"/>
              <w:jc w:val="left"/>
              <w:rPr>
                <w:rFonts w:ascii="Times New Roman" w:hAnsi="Times New Roman"/>
                <w:sz w:val="20"/>
              </w:rPr>
            </w:pPr>
            <w:r>
              <w:rPr>
                <w:rFonts w:ascii="Times New Roman" w:hAnsi="Times New Roman"/>
                <w:sz w:val="20"/>
              </w:rPr>
              <w:t>Biciklistički klub Munjara</w:t>
            </w:r>
          </w:p>
        </w:tc>
        <w:tc>
          <w:tcPr>
            <w:tcW w:w="1274" w:type="dxa"/>
          </w:tcPr>
          <w:p>
            <w:pPr>
              <w:pStyle w:val="TableParagraph"/>
              <w:spacing w:line="221" w:lineRule="exact" w:before="0"/>
              <w:ind w:right="93"/>
              <w:rPr>
                <w:rFonts w:ascii="Times New Roman"/>
                <w:sz w:val="20"/>
              </w:rPr>
            </w:pPr>
            <w:r>
              <w:rPr>
                <w:rFonts w:ascii="Times New Roman"/>
                <w:sz w:val="20"/>
              </w:rPr>
              <w:t>3.500,00</w:t>
            </w:r>
          </w:p>
        </w:tc>
        <w:tc>
          <w:tcPr>
            <w:tcW w:w="5388" w:type="dxa"/>
          </w:tcPr>
          <w:p>
            <w:pPr>
              <w:pStyle w:val="TableParagraph"/>
              <w:spacing w:line="220" w:lineRule="exact" w:before="0"/>
              <w:ind w:left="110"/>
              <w:jc w:val="left"/>
              <w:rPr>
                <w:rFonts w:ascii="Times New Roman" w:hAnsi="Times New Roman"/>
                <w:sz w:val="20"/>
              </w:rPr>
            </w:pPr>
            <w:r>
              <w:rPr>
                <w:rFonts w:ascii="Times New Roman" w:hAnsi="Times New Roman"/>
                <w:sz w:val="20"/>
              </w:rPr>
              <w:t>- organizacija biciklijade „Upoznajmo povijesnu baštinu</w:t>
            </w:r>
          </w:p>
          <w:p>
            <w:pPr>
              <w:pStyle w:val="TableParagraph"/>
              <w:spacing w:line="220" w:lineRule="exact" w:before="0"/>
              <w:ind w:left="285"/>
              <w:jc w:val="left"/>
              <w:rPr>
                <w:rFonts w:ascii="Times New Roman" w:hAnsi="Times New Roman"/>
                <w:sz w:val="20"/>
              </w:rPr>
            </w:pPr>
            <w:r>
              <w:rPr>
                <w:rFonts w:ascii="Times New Roman" w:hAnsi="Times New Roman"/>
                <w:sz w:val="20"/>
              </w:rPr>
              <w:t>županije bicikliranjem“</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10.</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Zajednica športskih udruga Grada Ozlja</w:t>
            </w:r>
          </w:p>
        </w:tc>
        <w:tc>
          <w:tcPr>
            <w:tcW w:w="1274" w:type="dxa"/>
          </w:tcPr>
          <w:p>
            <w:pPr>
              <w:pStyle w:val="TableParagraph"/>
              <w:spacing w:line="210" w:lineRule="exact" w:before="0"/>
              <w:ind w:right="93"/>
              <w:rPr>
                <w:rFonts w:ascii="Times New Roman"/>
                <w:sz w:val="20"/>
              </w:rPr>
            </w:pPr>
            <w:r>
              <w:rPr>
                <w:rFonts w:ascii="Times New Roman"/>
                <w:sz w:val="20"/>
              </w:rPr>
              <w:t>66.000,00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troškove redovite djelatnosti</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11.</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Gorska služba spašavanja, Stanica Klc</w:t>
            </w:r>
          </w:p>
        </w:tc>
        <w:tc>
          <w:tcPr>
            <w:tcW w:w="1274" w:type="dxa"/>
          </w:tcPr>
          <w:p>
            <w:pPr>
              <w:pStyle w:val="TableParagraph"/>
              <w:spacing w:line="210" w:lineRule="exact" w:before="0"/>
              <w:ind w:right="93"/>
              <w:rPr>
                <w:rFonts w:ascii="Times New Roman"/>
                <w:sz w:val="20"/>
              </w:rPr>
            </w:pPr>
            <w:r>
              <w:rPr>
                <w:rFonts w:ascii="Times New Roman"/>
                <w:sz w:val="20"/>
              </w:rPr>
              <w:t>7.500,00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troškove redovite djelatnosti</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12.</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Turistička zajednica Grada Ozlja</w:t>
            </w:r>
          </w:p>
        </w:tc>
        <w:tc>
          <w:tcPr>
            <w:tcW w:w="1274" w:type="dxa"/>
          </w:tcPr>
          <w:p>
            <w:pPr>
              <w:pStyle w:val="TableParagraph"/>
              <w:spacing w:line="210" w:lineRule="exact" w:before="0"/>
              <w:ind w:right="90"/>
              <w:rPr>
                <w:rFonts w:ascii="Times New Roman"/>
                <w:sz w:val="20"/>
              </w:rPr>
            </w:pPr>
            <w:r>
              <w:rPr>
                <w:rFonts w:ascii="Times New Roman"/>
                <w:sz w:val="20"/>
              </w:rPr>
              <w:t>34.124,68</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troškove redovite djelatnosti</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13.</w:t>
            </w:r>
          </w:p>
        </w:tc>
        <w:tc>
          <w:tcPr>
            <w:tcW w:w="3571" w:type="dxa"/>
          </w:tcPr>
          <w:p>
            <w:pPr>
              <w:pStyle w:val="TableParagraph"/>
              <w:spacing w:line="210" w:lineRule="exact" w:before="0"/>
              <w:ind w:left="107"/>
              <w:jc w:val="left"/>
              <w:rPr>
                <w:rFonts w:ascii="Times New Roman"/>
                <w:sz w:val="20"/>
              </w:rPr>
            </w:pPr>
            <w:r>
              <w:rPr>
                <w:rFonts w:ascii="Times New Roman"/>
                <w:sz w:val="20"/>
              </w:rPr>
              <w:t>Vatrogasna zajednica Grada Ozlja</w:t>
            </w:r>
          </w:p>
        </w:tc>
        <w:tc>
          <w:tcPr>
            <w:tcW w:w="1274" w:type="dxa"/>
          </w:tcPr>
          <w:p>
            <w:pPr>
              <w:pStyle w:val="TableParagraph"/>
              <w:spacing w:line="210" w:lineRule="exact" w:before="0"/>
              <w:ind w:right="91"/>
              <w:rPr>
                <w:rFonts w:ascii="Times New Roman"/>
                <w:sz w:val="20"/>
              </w:rPr>
            </w:pPr>
            <w:r>
              <w:rPr>
                <w:rFonts w:ascii="Times New Roman"/>
                <w:sz w:val="20"/>
              </w:rPr>
              <w:t>150.000,00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troškove redovite djelatnosti</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14.</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Udruga vinogradara, vinara i voćara Ozalj</w:t>
            </w:r>
          </w:p>
        </w:tc>
        <w:tc>
          <w:tcPr>
            <w:tcW w:w="1274" w:type="dxa"/>
          </w:tcPr>
          <w:p>
            <w:pPr>
              <w:pStyle w:val="TableParagraph"/>
              <w:spacing w:line="210" w:lineRule="exact" w:before="0"/>
              <w:ind w:right="92"/>
              <w:rPr>
                <w:rFonts w:ascii="Times New Roman"/>
                <w:sz w:val="20"/>
              </w:rPr>
            </w:pPr>
            <w:r>
              <w:rPr>
                <w:rFonts w:ascii="Times New Roman"/>
                <w:sz w:val="20"/>
              </w:rPr>
              <w:t>3.000,00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-organizacija izložbe vina</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15.</w:t>
            </w:r>
          </w:p>
        </w:tc>
        <w:tc>
          <w:tcPr>
            <w:tcW w:w="3571" w:type="dxa"/>
          </w:tcPr>
          <w:p>
            <w:pPr>
              <w:pStyle w:val="TableParagraph"/>
              <w:spacing w:line="210" w:lineRule="exact" w:before="0"/>
              <w:ind w:left="107"/>
              <w:jc w:val="left"/>
              <w:rPr>
                <w:rFonts w:ascii="Times New Roman"/>
                <w:sz w:val="20"/>
              </w:rPr>
            </w:pPr>
            <w:r>
              <w:rPr>
                <w:rFonts w:ascii="Times New Roman"/>
                <w:sz w:val="20"/>
              </w:rPr>
              <w:t>MK Colapis Riders</w:t>
            </w:r>
          </w:p>
        </w:tc>
        <w:tc>
          <w:tcPr>
            <w:tcW w:w="1274" w:type="dxa"/>
          </w:tcPr>
          <w:p>
            <w:pPr>
              <w:pStyle w:val="TableParagraph"/>
              <w:spacing w:line="210" w:lineRule="exact" w:before="0"/>
              <w:ind w:right="93"/>
              <w:rPr>
                <w:rFonts w:ascii="Times New Roman"/>
                <w:sz w:val="20"/>
              </w:rPr>
            </w:pPr>
            <w:r>
              <w:rPr>
                <w:rFonts w:ascii="Times New Roman"/>
                <w:sz w:val="20"/>
              </w:rPr>
              <w:t>2.000,00</w:t>
            </w:r>
          </w:p>
        </w:tc>
        <w:tc>
          <w:tcPr>
            <w:tcW w:w="5388" w:type="dxa"/>
          </w:tcPr>
          <w:p>
            <w:pPr>
              <w:pStyle w:val="TableParagraph"/>
              <w:spacing w:line="210" w:lineRule="exact" w:before="0"/>
              <w:ind w:left="110"/>
              <w:jc w:val="left"/>
              <w:rPr>
                <w:rFonts w:ascii="Times New Roman"/>
                <w:sz w:val="20"/>
              </w:rPr>
            </w:pPr>
            <w:r>
              <w:rPr>
                <w:rFonts w:ascii="Times New Roman"/>
                <w:sz w:val="20"/>
              </w:rPr>
              <w:t>-organizacija moto susreta od 14. do 16. lipnja 2013. godine</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16.</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Političke stranke</w:t>
            </w:r>
          </w:p>
        </w:tc>
        <w:tc>
          <w:tcPr>
            <w:tcW w:w="1274" w:type="dxa"/>
          </w:tcPr>
          <w:p>
            <w:pPr>
              <w:pStyle w:val="TableParagraph"/>
              <w:spacing w:line="210" w:lineRule="exact" w:before="0"/>
              <w:ind w:right="92"/>
              <w:rPr>
                <w:rFonts w:ascii="Times New Roman"/>
                <w:sz w:val="20"/>
              </w:rPr>
            </w:pPr>
            <w:r>
              <w:rPr>
                <w:rFonts w:ascii="Times New Roman"/>
                <w:sz w:val="20"/>
              </w:rPr>
              <w:t>31.000,00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troškove redovite djelatnosti</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17.</w:t>
            </w:r>
          </w:p>
        </w:tc>
        <w:tc>
          <w:tcPr>
            <w:tcW w:w="3571" w:type="dxa"/>
          </w:tcPr>
          <w:p>
            <w:pPr>
              <w:pStyle w:val="TableParagraph"/>
              <w:spacing w:line="210" w:lineRule="exact" w:before="0"/>
              <w:ind w:left="107"/>
              <w:jc w:val="left"/>
              <w:rPr>
                <w:rFonts w:ascii="Times New Roman"/>
                <w:sz w:val="20"/>
              </w:rPr>
            </w:pPr>
            <w:r>
              <w:rPr>
                <w:rFonts w:ascii="Times New Roman"/>
                <w:sz w:val="20"/>
              </w:rPr>
              <w:t>KUD Vrhovac</w:t>
            </w:r>
          </w:p>
        </w:tc>
        <w:tc>
          <w:tcPr>
            <w:tcW w:w="1274" w:type="dxa"/>
          </w:tcPr>
          <w:p>
            <w:pPr>
              <w:pStyle w:val="TableParagraph"/>
              <w:spacing w:line="210" w:lineRule="exact" w:before="0"/>
              <w:ind w:right="92"/>
              <w:rPr>
                <w:rFonts w:ascii="Times New Roman"/>
                <w:sz w:val="20"/>
              </w:rPr>
            </w:pPr>
            <w:r>
              <w:rPr>
                <w:rFonts w:ascii="Times New Roman"/>
                <w:sz w:val="20"/>
              </w:rPr>
              <w:t>15.000,00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troškove redovite djelatnosti</w:t>
            </w:r>
          </w:p>
        </w:tc>
      </w:tr>
      <w:tr>
        <w:trPr>
          <w:trHeight w:val="460" w:hRule="atLeast"/>
        </w:trPr>
        <w:tc>
          <w:tcPr>
            <w:tcW w:w="540" w:type="dxa"/>
          </w:tcPr>
          <w:p>
            <w:pPr>
              <w:pStyle w:val="TableParagraph"/>
              <w:spacing w:line="219" w:lineRule="exact" w:before="0"/>
              <w:ind w:left="107"/>
              <w:jc w:val="left"/>
              <w:rPr>
                <w:rFonts w:ascii="Times New Roman"/>
                <w:sz w:val="20"/>
              </w:rPr>
            </w:pPr>
            <w:r>
              <w:rPr>
                <w:rFonts w:ascii="Times New Roman"/>
                <w:sz w:val="20"/>
              </w:rPr>
              <w:t>18.</w:t>
            </w:r>
          </w:p>
        </w:tc>
        <w:tc>
          <w:tcPr>
            <w:tcW w:w="3571" w:type="dxa"/>
          </w:tcPr>
          <w:p>
            <w:pPr>
              <w:pStyle w:val="TableParagraph"/>
              <w:spacing w:line="219" w:lineRule="exact" w:before="0"/>
              <w:ind w:left="107"/>
              <w:jc w:val="left"/>
              <w:rPr>
                <w:rFonts w:ascii="Times New Roman" w:hAnsi="Times New Roman"/>
                <w:sz w:val="20"/>
              </w:rPr>
            </w:pPr>
            <w:r>
              <w:rPr>
                <w:rFonts w:ascii="Times New Roman" w:hAnsi="Times New Roman"/>
                <w:sz w:val="20"/>
              </w:rPr>
              <w:t>KUD „Ključ“ Trg</w:t>
            </w:r>
          </w:p>
        </w:tc>
        <w:tc>
          <w:tcPr>
            <w:tcW w:w="1274" w:type="dxa"/>
          </w:tcPr>
          <w:p>
            <w:pPr>
              <w:pStyle w:val="TableParagraph"/>
              <w:spacing w:line="219" w:lineRule="exact" w:before="0"/>
              <w:ind w:right="92"/>
              <w:rPr>
                <w:rFonts w:ascii="Times New Roman"/>
                <w:sz w:val="20"/>
              </w:rPr>
            </w:pPr>
            <w:r>
              <w:rPr>
                <w:rFonts w:ascii="Times New Roman"/>
                <w:sz w:val="20"/>
              </w:rPr>
              <w:t>74.900,00</w:t>
            </w:r>
          </w:p>
        </w:tc>
        <w:tc>
          <w:tcPr>
            <w:tcW w:w="5388" w:type="dxa"/>
          </w:tcPr>
          <w:p>
            <w:pPr>
              <w:pStyle w:val="TableParagraph"/>
              <w:spacing w:line="219" w:lineRule="exact" w:before="0"/>
              <w:ind w:left="110"/>
              <w:jc w:val="left"/>
              <w:rPr>
                <w:rFonts w:ascii="Times New Roman" w:hAnsi="Times New Roman"/>
                <w:sz w:val="20"/>
              </w:rPr>
            </w:pPr>
            <w:r>
              <w:rPr>
                <w:rFonts w:ascii="Times New Roman" w:hAnsi="Times New Roman"/>
                <w:sz w:val="20"/>
              </w:rPr>
              <w:t>- donacija za pokriće troškova avionskih karata za put u</w:t>
            </w:r>
          </w:p>
          <w:p>
            <w:pPr>
              <w:pStyle w:val="TableParagraph"/>
              <w:spacing w:line="221" w:lineRule="exact" w:before="0"/>
              <w:ind w:left="110"/>
              <w:jc w:val="left"/>
              <w:rPr>
                <w:rFonts w:ascii="Times New Roman"/>
                <w:sz w:val="20"/>
              </w:rPr>
            </w:pPr>
            <w:r>
              <w:rPr>
                <w:rFonts w:ascii="Times New Roman"/>
                <w:sz w:val="20"/>
              </w:rPr>
              <w:t>Baltimore</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19.</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Gradsko društvo Crvenog križa</w:t>
            </w:r>
          </w:p>
        </w:tc>
        <w:tc>
          <w:tcPr>
            <w:tcW w:w="1274" w:type="dxa"/>
          </w:tcPr>
          <w:p>
            <w:pPr>
              <w:pStyle w:val="TableParagraph"/>
              <w:spacing w:line="210" w:lineRule="exact" w:before="0"/>
              <w:ind w:right="92"/>
              <w:rPr>
                <w:rFonts w:ascii="Times New Roman"/>
                <w:sz w:val="20"/>
              </w:rPr>
            </w:pPr>
            <w:r>
              <w:rPr>
                <w:rFonts w:ascii="Times New Roman"/>
                <w:sz w:val="20"/>
              </w:rPr>
              <w:t>72.015,97</w:t>
            </w:r>
          </w:p>
        </w:tc>
        <w:tc>
          <w:tcPr>
            <w:tcW w:w="5388" w:type="dxa"/>
          </w:tcPr>
          <w:p>
            <w:pPr>
              <w:pStyle w:val="TableParagraph"/>
              <w:spacing w:line="210" w:lineRule="exact" w:before="0"/>
              <w:ind w:left="110"/>
              <w:jc w:val="left"/>
              <w:rPr>
                <w:rFonts w:ascii="Times New Roman"/>
                <w:sz w:val="20"/>
              </w:rPr>
            </w:pPr>
            <w:r>
              <w:rPr>
                <w:rFonts w:ascii="Times New Roman"/>
                <w:sz w:val="20"/>
              </w:rPr>
              <w:t>- sredstva za obavljanje redovne djelatnosti za 2014. godine</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20.</w:t>
            </w:r>
          </w:p>
        </w:tc>
        <w:tc>
          <w:tcPr>
            <w:tcW w:w="3571" w:type="dxa"/>
          </w:tcPr>
          <w:p>
            <w:pPr>
              <w:pStyle w:val="TableParagraph"/>
              <w:spacing w:line="210" w:lineRule="exact" w:before="0"/>
              <w:ind w:left="107"/>
              <w:jc w:val="left"/>
              <w:rPr>
                <w:rFonts w:ascii="Times New Roman"/>
                <w:sz w:val="20"/>
              </w:rPr>
            </w:pPr>
            <w:r>
              <w:rPr>
                <w:rFonts w:ascii="Times New Roman"/>
                <w:sz w:val="20"/>
              </w:rPr>
              <w:t>Dom zdravlja Ozalj</w:t>
            </w:r>
          </w:p>
        </w:tc>
        <w:tc>
          <w:tcPr>
            <w:tcW w:w="1274" w:type="dxa"/>
          </w:tcPr>
          <w:p>
            <w:pPr>
              <w:pStyle w:val="TableParagraph"/>
              <w:spacing w:line="210" w:lineRule="exact" w:before="0"/>
              <w:ind w:right="92"/>
              <w:rPr>
                <w:rFonts w:ascii="Times New Roman"/>
                <w:sz w:val="20"/>
              </w:rPr>
            </w:pPr>
            <w:r>
              <w:rPr>
                <w:rFonts w:ascii="Times New Roman"/>
                <w:sz w:val="20"/>
              </w:rPr>
              <w:t>10.000,00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nabavu ultrazvučnog aparata</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21.</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Društvo Naša djeca</w:t>
            </w:r>
          </w:p>
        </w:tc>
        <w:tc>
          <w:tcPr>
            <w:tcW w:w="1274" w:type="dxa"/>
          </w:tcPr>
          <w:p>
            <w:pPr>
              <w:pStyle w:val="TableParagraph"/>
              <w:spacing w:line="210" w:lineRule="exact" w:before="0"/>
              <w:ind w:right="93"/>
              <w:rPr>
                <w:rFonts w:ascii="Times New Roman"/>
                <w:sz w:val="20"/>
              </w:rPr>
            </w:pPr>
            <w:r>
              <w:rPr>
                <w:rFonts w:ascii="Times New Roman"/>
                <w:sz w:val="20"/>
              </w:rPr>
              <w:t>10.000,00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troškoave redovite djelatnosti</w:t>
            </w:r>
          </w:p>
        </w:tc>
      </w:tr>
      <w:tr>
        <w:trPr>
          <w:trHeight w:val="460" w:hRule="atLeast"/>
        </w:trPr>
        <w:tc>
          <w:tcPr>
            <w:tcW w:w="540" w:type="dxa"/>
          </w:tcPr>
          <w:p>
            <w:pPr>
              <w:pStyle w:val="TableParagraph"/>
              <w:spacing w:line="219" w:lineRule="exact" w:before="0"/>
              <w:ind w:left="107"/>
              <w:jc w:val="left"/>
              <w:rPr>
                <w:rFonts w:ascii="Times New Roman"/>
                <w:sz w:val="20"/>
              </w:rPr>
            </w:pPr>
            <w:r>
              <w:rPr>
                <w:rFonts w:ascii="Times New Roman"/>
                <w:sz w:val="20"/>
              </w:rPr>
              <w:t>22.</w:t>
            </w:r>
          </w:p>
        </w:tc>
        <w:tc>
          <w:tcPr>
            <w:tcW w:w="3571" w:type="dxa"/>
          </w:tcPr>
          <w:p>
            <w:pPr>
              <w:pStyle w:val="TableParagraph"/>
              <w:spacing w:line="219" w:lineRule="exact" w:before="0"/>
              <w:ind w:left="107"/>
              <w:jc w:val="left"/>
              <w:rPr>
                <w:rFonts w:ascii="Times New Roman" w:hAnsi="Times New Roman"/>
                <w:sz w:val="20"/>
              </w:rPr>
            </w:pPr>
            <w:r>
              <w:rPr>
                <w:rFonts w:ascii="Times New Roman" w:hAnsi="Times New Roman"/>
                <w:sz w:val="20"/>
              </w:rPr>
              <w:t>ROZP – regionalna organizacija zaštite</w:t>
            </w:r>
          </w:p>
          <w:p>
            <w:pPr>
              <w:pStyle w:val="TableParagraph"/>
              <w:spacing w:line="221" w:lineRule="exact" w:before="0"/>
              <w:ind w:left="107"/>
              <w:jc w:val="left"/>
              <w:rPr>
                <w:rFonts w:ascii="Times New Roman" w:hAnsi="Times New Roman"/>
                <w:sz w:val="20"/>
              </w:rPr>
            </w:pPr>
            <w:r>
              <w:rPr>
                <w:rFonts w:ascii="Times New Roman" w:hAnsi="Times New Roman"/>
                <w:sz w:val="20"/>
              </w:rPr>
              <w:t>potrošača</w:t>
            </w:r>
          </w:p>
        </w:tc>
        <w:tc>
          <w:tcPr>
            <w:tcW w:w="1274" w:type="dxa"/>
          </w:tcPr>
          <w:p>
            <w:pPr>
              <w:pStyle w:val="TableParagraph"/>
              <w:spacing w:line="219" w:lineRule="exact" w:before="0"/>
              <w:ind w:right="92"/>
              <w:rPr>
                <w:rFonts w:ascii="Times New Roman"/>
                <w:sz w:val="20"/>
              </w:rPr>
            </w:pPr>
            <w:r>
              <w:rPr>
                <w:rFonts w:ascii="Times New Roman"/>
                <w:sz w:val="20"/>
              </w:rPr>
              <w:t>683,70</w:t>
            </w:r>
          </w:p>
        </w:tc>
        <w:tc>
          <w:tcPr>
            <w:tcW w:w="5388" w:type="dxa"/>
          </w:tcPr>
          <w:p>
            <w:pPr>
              <w:pStyle w:val="TableParagraph"/>
              <w:spacing w:line="219" w:lineRule="exact" w:before="0"/>
              <w:ind w:left="146"/>
              <w:jc w:val="left"/>
              <w:rPr>
                <w:rFonts w:ascii="Times New Roman" w:hAnsi="Times New Roman"/>
                <w:sz w:val="20"/>
              </w:rPr>
            </w:pPr>
            <w:r>
              <w:rPr>
                <w:rFonts w:ascii="Times New Roman" w:hAnsi="Times New Roman"/>
                <w:sz w:val="20"/>
              </w:rPr>
              <w:t>- donacija za provedbu projekta „Pročitao sam i slažem se“</w:t>
            </w:r>
          </w:p>
        </w:tc>
      </w:tr>
      <w:tr>
        <w:trPr>
          <w:trHeight w:val="460" w:hRule="atLeast"/>
        </w:trPr>
        <w:tc>
          <w:tcPr>
            <w:tcW w:w="540" w:type="dxa"/>
          </w:tcPr>
          <w:p>
            <w:pPr>
              <w:pStyle w:val="TableParagraph"/>
              <w:spacing w:line="219" w:lineRule="exact" w:before="0"/>
              <w:ind w:left="107"/>
              <w:jc w:val="left"/>
              <w:rPr>
                <w:rFonts w:ascii="Times New Roman"/>
                <w:sz w:val="20"/>
              </w:rPr>
            </w:pPr>
            <w:r>
              <w:rPr>
                <w:rFonts w:ascii="Times New Roman"/>
                <w:sz w:val="20"/>
              </w:rPr>
              <w:t>23.</w:t>
            </w:r>
          </w:p>
        </w:tc>
        <w:tc>
          <w:tcPr>
            <w:tcW w:w="3571" w:type="dxa"/>
          </w:tcPr>
          <w:p>
            <w:pPr>
              <w:pStyle w:val="TableParagraph"/>
              <w:spacing w:line="219" w:lineRule="exact" w:before="0"/>
              <w:ind w:left="107"/>
              <w:jc w:val="left"/>
              <w:rPr>
                <w:rFonts w:ascii="Times New Roman" w:hAnsi="Times New Roman"/>
                <w:sz w:val="20"/>
              </w:rPr>
            </w:pPr>
            <w:r>
              <w:rPr>
                <w:rFonts w:ascii="Times New Roman" w:hAnsi="Times New Roman"/>
                <w:sz w:val="20"/>
              </w:rPr>
              <w:t>OŠ Slava Raškaj Ozalj</w:t>
            </w:r>
          </w:p>
        </w:tc>
        <w:tc>
          <w:tcPr>
            <w:tcW w:w="1274" w:type="dxa"/>
          </w:tcPr>
          <w:p>
            <w:pPr>
              <w:pStyle w:val="TableParagraph"/>
              <w:spacing w:line="219" w:lineRule="exact" w:before="0"/>
              <w:ind w:right="93"/>
              <w:rPr>
                <w:rFonts w:ascii="Times New Roman"/>
                <w:sz w:val="20"/>
              </w:rPr>
            </w:pPr>
            <w:r>
              <w:rPr>
                <w:rFonts w:ascii="Times New Roman"/>
                <w:sz w:val="20"/>
              </w:rPr>
              <w:t>1.500,00</w:t>
            </w:r>
          </w:p>
        </w:tc>
        <w:tc>
          <w:tcPr>
            <w:tcW w:w="5388" w:type="dxa"/>
          </w:tcPr>
          <w:p>
            <w:pPr>
              <w:pStyle w:val="TableParagraph"/>
              <w:spacing w:line="219" w:lineRule="exact" w:before="0"/>
              <w:ind w:left="110"/>
              <w:jc w:val="left"/>
              <w:rPr>
                <w:rFonts w:ascii="Times New Roman" w:hAnsi="Times New Roman"/>
                <w:sz w:val="20"/>
              </w:rPr>
            </w:pPr>
            <w:r>
              <w:rPr>
                <w:rFonts w:ascii="Times New Roman" w:hAnsi="Times New Roman"/>
                <w:sz w:val="20"/>
              </w:rPr>
              <w:t>- donacija za troškove prijevoza djece na terensku nastavu u</w:t>
            </w:r>
          </w:p>
          <w:p>
            <w:pPr>
              <w:pStyle w:val="TableParagraph"/>
              <w:spacing w:line="221" w:lineRule="exact" w:before="0"/>
              <w:ind w:left="110"/>
              <w:jc w:val="left"/>
              <w:rPr>
                <w:rFonts w:ascii="Times New Roman"/>
                <w:sz w:val="20"/>
              </w:rPr>
            </w:pPr>
            <w:r>
              <w:rPr>
                <w:rFonts w:ascii="Times New Roman"/>
                <w:sz w:val="20"/>
              </w:rPr>
              <w:t>Zagreb</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24.</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Zavičajno društvo Žumberak</w:t>
            </w:r>
          </w:p>
        </w:tc>
        <w:tc>
          <w:tcPr>
            <w:tcW w:w="1274" w:type="dxa"/>
          </w:tcPr>
          <w:p>
            <w:pPr>
              <w:pStyle w:val="TableParagraph"/>
              <w:spacing w:line="210" w:lineRule="exact" w:before="0"/>
              <w:ind w:right="93"/>
              <w:rPr>
                <w:rFonts w:ascii="Times New Roman"/>
                <w:sz w:val="20"/>
              </w:rPr>
            </w:pPr>
            <w:r>
              <w:rPr>
                <w:rFonts w:ascii="Times New Roman"/>
                <w:sz w:val="20"/>
              </w:rPr>
              <w:t>2.000,00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troškove obavljanja redovite djelatnosti</w:t>
            </w:r>
          </w:p>
        </w:tc>
      </w:tr>
      <w:tr>
        <w:trPr>
          <w:trHeight w:val="227" w:hRule="atLeast"/>
        </w:trPr>
        <w:tc>
          <w:tcPr>
            <w:tcW w:w="540" w:type="dxa"/>
          </w:tcPr>
          <w:p>
            <w:pPr>
              <w:pStyle w:val="TableParagraph"/>
              <w:spacing w:line="208" w:lineRule="exact" w:before="0"/>
              <w:ind w:left="107"/>
              <w:jc w:val="left"/>
              <w:rPr>
                <w:rFonts w:ascii="Times New Roman"/>
                <w:sz w:val="20"/>
              </w:rPr>
            </w:pPr>
            <w:r>
              <w:rPr>
                <w:rFonts w:ascii="Times New Roman"/>
                <w:sz w:val="20"/>
              </w:rPr>
              <w:t>25.</w:t>
            </w:r>
          </w:p>
        </w:tc>
        <w:tc>
          <w:tcPr>
            <w:tcW w:w="3571" w:type="dxa"/>
          </w:tcPr>
          <w:p>
            <w:pPr>
              <w:pStyle w:val="TableParagraph"/>
              <w:spacing w:line="208" w:lineRule="exact" w:before="0"/>
              <w:ind w:left="107"/>
              <w:jc w:val="left"/>
              <w:rPr>
                <w:rFonts w:ascii="Times New Roman" w:hAnsi="Times New Roman"/>
                <w:sz w:val="20"/>
              </w:rPr>
            </w:pPr>
            <w:r>
              <w:rPr>
                <w:rFonts w:ascii="Times New Roman" w:hAnsi="Times New Roman"/>
                <w:sz w:val="20"/>
              </w:rPr>
              <w:t>Gradsko društvo Crvenog križa Petrinja</w:t>
            </w:r>
          </w:p>
        </w:tc>
        <w:tc>
          <w:tcPr>
            <w:tcW w:w="1274" w:type="dxa"/>
          </w:tcPr>
          <w:p>
            <w:pPr>
              <w:pStyle w:val="TableParagraph"/>
              <w:spacing w:line="208" w:lineRule="exact" w:before="0"/>
              <w:ind w:right="93"/>
              <w:rPr>
                <w:rFonts w:ascii="Times New Roman"/>
                <w:sz w:val="20"/>
              </w:rPr>
            </w:pPr>
            <w:r>
              <w:rPr>
                <w:rFonts w:ascii="Times New Roman"/>
                <w:sz w:val="20"/>
              </w:rPr>
              <w:t>1.000,00</w:t>
            </w:r>
          </w:p>
        </w:tc>
        <w:tc>
          <w:tcPr>
            <w:tcW w:w="5388" w:type="dxa"/>
          </w:tcPr>
          <w:p>
            <w:pPr>
              <w:pStyle w:val="TableParagraph"/>
              <w:spacing w:line="208" w:lineRule="exact" w:before="0"/>
              <w:ind w:left="110"/>
              <w:jc w:val="left"/>
              <w:rPr>
                <w:rFonts w:ascii="Times New Roman" w:hAnsi="Times New Roman"/>
                <w:sz w:val="20"/>
              </w:rPr>
            </w:pPr>
            <w:r>
              <w:rPr>
                <w:rFonts w:ascii="Times New Roman" w:hAnsi="Times New Roman"/>
                <w:sz w:val="20"/>
              </w:rPr>
              <w:t>- donacija za pomoć poplavljenom području</w:t>
            </w:r>
          </w:p>
        </w:tc>
      </w:tr>
      <w:tr>
        <w:trPr>
          <w:trHeight w:val="460" w:hRule="atLeast"/>
        </w:trPr>
        <w:tc>
          <w:tcPr>
            <w:tcW w:w="540" w:type="dxa"/>
          </w:tcPr>
          <w:p>
            <w:pPr>
              <w:pStyle w:val="TableParagraph"/>
              <w:spacing w:line="221" w:lineRule="exact" w:before="0"/>
              <w:ind w:left="107"/>
              <w:jc w:val="left"/>
              <w:rPr>
                <w:rFonts w:ascii="Times New Roman"/>
                <w:sz w:val="20"/>
              </w:rPr>
            </w:pPr>
            <w:r>
              <w:rPr>
                <w:rFonts w:ascii="Times New Roman"/>
                <w:sz w:val="20"/>
              </w:rPr>
              <w:t>26.</w:t>
            </w:r>
          </w:p>
        </w:tc>
        <w:tc>
          <w:tcPr>
            <w:tcW w:w="3571" w:type="dxa"/>
          </w:tcPr>
          <w:p>
            <w:pPr>
              <w:pStyle w:val="TableParagraph"/>
              <w:spacing w:line="220" w:lineRule="exact" w:before="0"/>
              <w:ind w:left="107"/>
              <w:jc w:val="left"/>
              <w:rPr>
                <w:rFonts w:ascii="Times New Roman" w:hAnsi="Times New Roman"/>
                <w:sz w:val="20"/>
              </w:rPr>
            </w:pPr>
            <w:r>
              <w:rPr>
                <w:rFonts w:ascii="Times New Roman" w:hAnsi="Times New Roman"/>
                <w:sz w:val="20"/>
              </w:rPr>
              <w:t>CDAS – Centar za demokraciju i aktivno</w:t>
            </w:r>
          </w:p>
          <w:p>
            <w:pPr>
              <w:pStyle w:val="TableParagraph"/>
              <w:spacing w:line="220" w:lineRule="exact" w:before="0"/>
              <w:ind w:left="107"/>
              <w:jc w:val="left"/>
              <w:rPr>
                <w:rFonts w:ascii="Times New Roman" w:hAnsi="Times New Roman"/>
                <w:sz w:val="20"/>
              </w:rPr>
            </w:pPr>
            <w:r>
              <w:rPr>
                <w:rFonts w:ascii="Times New Roman" w:hAnsi="Times New Roman"/>
                <w:sz w:val="20"/>
              </w:rPr>
              <w:t>sjećanje</w:t>
            </w:r>
          </w:p>
        </w:tc>
        <w:tc>
          <w:tcPr>
            <w:tcW w:w="1274" w:type="dxa"/>
          </w:tcPr>
          <w:p>
            <w:pPr>
              <w:pStyle w:val="TableParagraph"/>
              <w:spacing w:line="221" w:lineRule="exact" w:before="0"/>
              <w:ind w:right="95"/>
              <w:rPr>
                <w:rFonts w:ascii="Times New Roman"/>
                <w:sz w:val="20"/>
              </w:rPr>
            </w:pPr>
            <w:r>
              <w:rPr>
                <w:rFonts w:ascii="Times New Roman"/>
                <w:sz w:val="20"/>
              </w:rPr>
              <w:t>10.000,00</w:t>
            </w:r>
          </w:p>
        </w:tc>
        <w:tc>
          <w:tcPr>
            <w:tcW w:w="5388" w:type="dxa"/>
          </w:tcPr>
          <w:p>
            <w:pPr>
              <w:pStyle w:val="TableParagraph"/>
              <w:spacing w:line="221" w:lineRule="exact" w:before="0"/>
              <w:ind w:left="110"/>
              <w:jc w:val="left"/>
              <w:rPr>
                <w:rFonts w:ascii="Times New Roman" w:hAnsi="Times New Roman"/>
                <w:sz w:val="20"/>
              </w:rPr>
            </w:pPr>
            <w:r>
              <w:rPr>
                <w:rFonts w:ascii="Times New Roman" w:hAnsi="Times New Roman"/>
                <w:sz w:val="20"/>
              </w:rPr>
              <w:t>- donacija za snimanje dokumentarnog filma:Šutnje Ratka M.</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27.</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Udruga Lijepa Naša</w:t>
            </w:r>
          </w:p>
        </w:tc>
        <w:tc>
          <w:tcPr>
            <w:tcW w:w="1274" w:type="dxa"/>
          </w:tcPr>
          <w:p>
            <w:pPr>
              <w:pStyle w:val="TableParagraph"/>
              <w:spacing w:line="210" w:lineRule="exact" w:before="0"/>
              <w:ind w:right="96"/>
              <w:rPr>
                <w:rFonts w:ascii="Times New Roman"/>
                <w:sz w:val="20"/>
              </w:rPr>
            </w:pPr>
            <w:r>
              <w:rPr>
                <w:rFonts w:ascii="Times New Roman"/>
                <w:sz w:val="20"/>
              </w:rPr>
              <w:t>5.000,00</w:t>
            </w:r>
          </w:p>
        </w:tc>
        <w:tc>
          <w:tcPr>
            <w:tcW w:w="5388" w:type="dxa"/>
          </w:tcPr>
          <w:p>
            <w:pPr>
              <w:pStyle w:val="TableParagraph"/>
              <w:spacing w:line="210" w:lineRule="exact" w:before="0"/>
              <w:ind w:left="110"/>
              <w:jc w:val="left"/>
              <w:rPr>
                <w:rFonts w:ascii="Times New Roman" w:hAnsi="Times New Roman"/>
                <w:sz w:val="20"/>
              </w:rPr>
            </w:pPr>
            <w:r>
              <w:rPr>
                <w:rFonts w:ascii="Times New Roman" w:hAnsi="Times New Roman"/>
                <w:sz w:val="20"/>
              </w:rPr>
              <w:t>- donacija za projekt „Eko škole“ OŠ Slave Raškaj Ozalj</w:t>
            </w:r>
          </w:p>
        </w:tc>
      </w:tr>
      <w:tr>
        <w:trPr>
          <w:trHeight w:val="460" w:hRule="atLeast"/>
        </w:trPr>
        <w:tc>
          <w:tcPr>
            <w:tcW w:w="540" w:type="dxa"/>
          </w:tcPr>
          <w:p>
            <w:pPr>
              <w:pStyle w:val="TableParagraph"/>
              <w:spacing w:line="219" w:lineRule="exact" w:before="0"/>
              <w:ind w:left="107"/>
              <w:jc w:val="left"/>
              <w:rPr>
                <w:rFonts w:ascii="Times New Roman"/>
                <w:sz w:val="20"/>
              </w:rPr>
            </w:pPr>
            <w:r>
              <w:rPr>
                <w:rFonts w:ascii="Times New Roman"/>
                <w:sz w:val="20"/>
              </w:rPr>
              <w:t>28.</w:t>
            </w:r>
          </w:p>
        </w:tc>
        <w:tc>
          <w:tcPr>
            <w:tcW w:w="3571" w:type="dxa"/>
          </w:tcPr>
          <w:p>
            <w:pPr>
              <w:pStyle w:val="TableParagraph"/>
              <w:spacing w:line="219" w:lineRule="exact" w:before="0"/>
              <w:ind w:left="107"/>
              <w:jc w:val="left"/>
              <w:rPr>
                <w:rFonts w:ascii="Times New Roman" w:hAnsi="Times New Roman"/>
                <w:sz w:val="20"/>
              </w:rPr>
            </w:pPr>
            <w:r>
              <w:rPr>
                <w:rFonts w:ascii="Times New Roman" w:hAnsi="Times New Roman"/>
                <w:sz w:val="20"/>
              </w:rPr>
              <w:t>Organizacijski odbor za obilježavanje</w:t>
            </w:r>
          </w:p>
          <w:p>
            <w:pPr>
              <w:pStyle w:val="TableParagraph"/>
              <w:spacing w:line="221" w:lineRule="exact" w:before="0"/>
              <w:ind w:left="107"/>
              <w:jc w:val="left"/>
              <w:rPr>
                <w:rFonts w:ascii="Times New Roman" w:hAnsi="Times New Roman"/>
                <w:sz w:val="20"/>
              </w:rPr>
            </w:pPr>
            <w:r>
              <w:rPr>
                <w:rFonts w:ascii="Times New Roman" w:hAnsi="Times New Roman"/>
                <w:sz w:val="20"/>
              </w:rPr>
              <w:t>100. god. smrti Tadije Smičiklasa</w:t>
            </w:r>
          </w:p>
        </w:tc>
        <w:tc>
          <w:tcPr>
            <w:tcW w:w="1274" w:type="dxa"/>
          </w:tcPr>
          <w:p>
            <w:pPr>
              <w:pStyle w:val="TableParagraph"/>
              <w:spacing w:line="219" w:lineRule="exact" w:before="0"/>
              <w:ind w:right="93"/>
              <w:rPr>
                <w:rFonts w:ascii="Times New Roman"/>
                <w:sz w:val="20"/>
              </w:rPr>
            </w:pPr>
            <w:r>
              <w:rPr>
                <w:rFonts w:ascii="Times New Roman"/>
                <w:sz w:val="20"/>
              </w:rPr>
              <w:t>5.000,00</w:t>
            </w:r>
          </w:p>
        </w:tc>
        <w:tc>
          <w:tcPr>
            <w:tcW w:w="5388" w:type="dxa"/>
          </w:tcPr>
          <w:p>
            <w:pPr>
              <w:pStyle w:val="TableParagraph"/>
              <w:spacing w:line="219" w:lineRule="exact" w:before="0"/>
              <w:ind w:left="110"/>
              <w:jc w:val="left"/>
              <w:rPr>
                <w:rFonts w:ascii="Times New Roman" w:hAnsi="Times New Roman"/>
                <w:sz w:val="20"/>
              </w:rPr>
            </w:pPr>
            <w:r>
              <w:rPr>
                <w:rFonts w:ascii="Times New Roman" w:hAnsi="Times New Roman"/>
                <w:sz w:val="20"/>
              </w:rPr>
              <w:t>- donacija u svrhu izrade i postavljanja biste Tadije Smičiklasa</w:t>
            </w:r>
          </w:p>
        </w:tc>
      </w:tr>
      <w:tr>
        <w:trPr>
          <w:trHeight w:val="460" w:hRule="atLeast"/>
        </w:trPr>
        <w:tc>
          <w:tcPr>
            <w:tcW w:w="540" w:type="dxa"/>
          </w:tcPr>
          <w:p>
            <w:pPr>
              <w:pStyle w:val="TableParagraph"/>
              <w:spacing w:line="219" w:lineRule="exact" w:before="0"/>
              <w:ind w:left="107"/>
              <w:jc w:val="left"/>
              <w:rPr>
                <w:rFonts w:ascii="Times New Roman"/>
                <w:sz w:val="20"/>
              </w:rPr>
            </w:pPr>
            <w:r>
              <w:rPr>
                <w:rFonts w:ascii="Times New Roman"/>
                <w:sz w:val="20"/>
              </w:rPr>
              <w:t>29.</w:t>
            </w:r>
          </w:p>
        </w:tc>
        <w:tc>
          <w:tcPr>
            <w:tcW w:w="3571" w:type="dxa"/>
          </w:tcPr>
          <w:p>
            <w:pPr>
              <w:pStyle w:val="TableParagraph"/>
              <w:tabs>
                <w:tab w:pos="1012" w:val="left" w:leader="none"/>
                <w:tab w:pos="1787" w:val="left" w:leader="none"/>
                <w:tab w:pos="2773" w:val="left" w:leader="none"/>
              </w:tabs>
              <w:spacing w:line="219" w:lineRule="exact" w:before="0"/>
              <w:ind w:left="107"/>
              <w:jc w:val="left"/>
              <w:rPr>
                <w:rFonts w:ascii="Times New Roman"/>
                <w:sz w:val="20"/>
              </w:rPr>
            </w:pPr>
            <w:r>
              <w:rPr>
                <w:rFonts w:ascii="Times New Roman"/>
                <w:sz w:val="20"/>
              </w:rPr>
              <w:t>Udruga</w:t>
              <w:tab/>
              <w:t>ratnih</w:t>
              <w:tab/>
              <w:t>veterana</w:t>
              <w:tab/>
              <w:t>Hrvatski</w:t>
            </w:r>
          </w:p>
          <w:p>
            <w:pPr>
              <w:pStyle w:val="TableParagraph"/>
              <w:spacing w:line="221" w:lineRule="exact" w:before="0"/>
              <w:ind w:left="107"/>
              <w:jc w:val="left"/>
              <w:rPr>
                <w:rFonts w:ascii="Times New Roman"/>
                <w:sz w:val="20"/>
              </w:rPr>
            </w:pPr>
            <w:r>
              <w:rPr>
                <w:rFonts w:ascii="Times New Roman"/>
                <w:sz w:val="20"/>
              </w:rPr>
              <w:t>domobran</w:t>
            </w:r>
          </w:p>
        </w:tc>
        <w:tc>
          <w:tcPr>
            <w:tcW w:w="1274" w:type="dxa"/>
          </w:tcPr>
          <w:p>
            <w:pPr>
              <w:pStyle w:val="TableParagraph"/>
              <w:spacing w:line="219" w:lineRule="exact" w:before="0"/>
              <w:ind w:right="93"/>
              <w:rPr>
                <w:rFonts w:ascii="Times New Roman"/>
                <w:sz w:val="20"/>
              </w:rPr>
            </w:pPr>
            <w:r>
              <w:rPr>
                <w:rFonts w:ascii="Times New Roman"/>
                <w:sz w:val="20"/>
              </w:rPr>
              <w:t>1.000,00</w:t>
            </w:r>
          </w:p>
        </w:tc>
        <w:tc>
          <w:tcPr>
            <w:tcW w:w="5388" w:type="dxa"/>
          </w:tcPr>
          <w:p>
            <w:pPr>
              <w:pStyle w:val="TableParagraph"/>
              <w:spacing w:line="219" w:lineRule="exact" w:before="0"/>
              <w:ind w:left="110"/>
              <w:jc w:val="left"/>
              <w:rPr>
                <w:rFonts w:ascii="Times New Roman" w:hAnsi="Times New Roman"/>
                <w:sz w:val="20"/>
              </w:rPr>
            </w:pPr>
            <w:r>
              <w:rPr>
                <w:rFonts w:ascii="Times New Roman" w:hAnsi="Times New Roman"/>
                <w:sz w:val="20"/>
              </w:rPr>
              <w:t>- donacija za troškove komemoracije hrvatskim vojnicima</w:t>
            </w:r>
          </w:p>
          <w:p>
            <w:pPr>
              <w:pStyle w:val="TableParagraph"/>
              <w:spacing w:line="221" w:lineRule="exact" w:before="0"/>
              <w:ind w:left="110"/>
              <w:jc w:val="left"/>
              <w:rPr>
                <w:rFonts w:ascii="Times New Roman" w:hAnsi="Times New Roman"/>
                <w:sz w:val="20"/>
              </w:rPr>
            </w:pPr>
            <w:r>
              <w:rPr>
                <w:rFonts w:ascii="Times New Roman" w:hAnsi="Times New Roman"/>
                <w:sz w:val="20"/>
              </w:rPr>
              <w:t>poginulim u razdoblju 1941.-1945. na području Ozlja</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30.</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Klub žena Pokupsko</w:t>
            </w:r>
          </w:p>
        </w:tc>
        <w:tc>
          <w:tcPr>
            <w:tcW w:w="1274" w:type="dxa"/>
          </w:tcPr>
          <w:p>
            <w:pPr>
              <w:pStyle w:val="TableParagraph"/>
              <w:spacing w:line="210" w:lineRule="exact" w:before="0"/>
              <w:ind w:right="92"/>
              <w:rPr>
                <w:rFonts w:ascii="Times New Roman"/>
                <w:sz w:val="20"/>
              </w:rPr>
            </w:pPr>
            <w:r>
              <w:rPr>
                <w:rFonts w:ascii="Times New Roman"/>
                <w:sz w:val="20"/>
              </w:rPr>
              <w:t>500,00</w:t>
            </w:r>
          </w:p>
        </w:tc>
        <w:tc>
          <w:tcPr>
            <w:tcW w:w="5388" w:type="dxa"/>
          </w:tcPr>
          <w:p>
            <w:pPr>
              <w:pStyle w:val="TableParagraph"/>
              <w:spacing w:line="210" w:lineRule="exact" w:before="0"/>
              <w:ind w:left="146"/>
              <w:jc w:val="left"/>
              <w:rPr>
                <w:rFonts w:ascii="Times New Roman" w:hAnsi="Times New Roman"/>
                <w:sz w:val="20"/>
              </w:rPr>
            </w:pPr>
            <w:r>
              <w:rPr>
                <w:rFonts w:ascii="Times New Roman" w:hAnsi="Times New Roman"/>
                <w:sz w:val="20"/>
              </w:rPr>
              <w:t>- donacija za provođenje projekta „Na Kupi me pokupi“</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31.</w:t>
            </w:r>
          </w:p>
        </w:tc>
        <w:tc>
          <w:tcPr>
            <w:tcW w:w="3571" w:type="dxa"/>
          </w:tcPr>
          <w:p>
            <w:pPr>
              <w:pStyle w:val="TableParagraph"/>
              <w:spacing w:line="210" w:lineRule="exact" w:before="0"/>
              <w:ind w:left="107"/>
              <w:jc w:val="left"/>
              <w:rPr>
                <w:rFonts w:ascii="Times New Roman" w:hAnsi="Times New Roman"/>
                <w:sz w:val="20"/>
              </w:rPr>
            </w:pPr>
            <w:r>
              <w:rPr>
                <w:rFonts w:ascii="Times New Roman" w:hAnsi="Times New Roman"/>
                <w:sz w:val="20"/>
              </w:rPr>
              <w:t>Krašićke mažoretkinje</w:t>
            </w:r>
          </w:p>
        </w:tc>
        <w:tc>
          <w:tcPr>
            <w:tcW w:w="1274" w:type="dxa"/>
          </w:tcPr>
          <w:p>
            <w:pPr>
              <w:pStyle w:val="TableParagraph"/>
              <w:spacing w:line="210" w:lineRule="exact" w:before="0"/>
              <w:ind w:right="92"/>
              <w:rPr>
                <w:rFonts w:ascii="Times New Roman"/>
                <w:sz w:val="20"/>
              </w:rPr>
            </w:pPr>
            <w:r>
              <w:rPr>
                <w:rFonts w:ascii="Times New Roman"/>
                <w:sz w:val="20"/>
              </w:rPr>
              <w:t>500,00</w:t>
            </w:r>
          </w:p>
        </w:tc>
        <w:tc>
          <w:tcPr>
            <w:tcW w:w="5388" w:type="dxa"/>
          </w:tcPr>
          <w:p>
            <w:pPr>
              <w:pStyle w:val="TableParagraph"/>
              <w:spacing w:line="210" w:lineRule="exact" w:before="0"/>
              <w:ind w:left="146"/>
              <w:jc w:val="left"/>
              <w:rPr>
                <w:rFonts w:ascii="Times New Roman" w:hAnsi="Times New Roman"/>
                <w:sz w:val="20"/>
              </w:rPr>
            </w:pPr>
            <w:r>
              <w:rPr>
                <w:rFonts w:ascii="Times New Roman" w:hAnsi="Times New Roman"/>
                <w:sz w:val="20"/>
              </w:rPr>
              <w:t>- donacija za troškove redovite djelatnosti</w:t>
            </w:r>
          </w:p>
        </w:tc>
      </w:tr>
      <w:tr>
        <w:trPr>
          <w:trHeight w:val="460" w:hRule="atLeast"/>
        </w:trPr>
        <w:tc>
          <w:tcPr>
            <w:tcW w:w="540" w:type="dxa"/>
          </w:tcPr>
          <w:p>
            <w:pPr>
              <w:pStyle w:val="TableParagraph"/>
              <w:spacing w:line="219" w:lineRule="exact" w:before="0"/>
              <w:ind w:left="107"/>
              <w:jc w:val="left"/>
              <w:rPr>
                <w:rFonts w:ascii="Times New Roman"/>
                <w:sz w:val="20"/>
              </w:rPr>
            </w:pPr>
            <w:r>
              <w:rPr>
                <w:rFonts w:ascii="Times New Roman"/>
                <w:sz w:val="20"/>
              </w:rPr>
              <w:t>32.</w:t>
            </w:r>
          </w:p>
        </w:tc>
        <w:tc>
          <w:tcPr>
            <w:tcW w:w="3571" w:type="dxa"/>
          </w:tcPr>
          <w:p>
            <w:pPr>
              <w:pStyle w:val="TableParagraph"/>
              <w:spacing w:line="219" w:lineRule="exact" w:before="0"/>
              <w:ind w:left="107"/>
              <w:jc w:val="left"/>
              <w:rPr>
                <w:rFonts w:ascii="Times New Roman" w:hAnsi="Times New Roman"/>
                <w:sz w:val="20"/>
              </w:rPr>
            </w:pPr>
            <w:r>
              <w:rPr>
                <w:rFonts w:ascii="Times New Roman" w:hAnsi="Times New Roman"/>
                <w:sz w:val="20"/>
              </w:rPr>
              <w:t>Počasni bleiburški vod – predstavništvo u</w:t>
            </w:r>
          </w:p>
          <w:p>
            <w:pPr>
              <w:pStyle w:val="TableParagraph"/>
              <w:spacing w:line="221" w:lineRule="exact" w:before="0"/>
              <w:ind w:left="107"/>
              <w:jc w:val="left"/>
              <w:rPr>
                <w:rFonts w:ascii="Times New Roman"/>
                <w:sz w:val="20"/>
              </w:rPr>
            </w:pPr>
            <w:r>
              <w:rPr>
                <w:rFonts w:ascii="Times New Roman"/>
                <w:sz w:val="20"/>
              </w:rPr>
              <w:t>RH</w:t>
            </w:r>
          </w:p>
        </w:tc>
        <w:tc>
          <w:tcPr>
            <w:tcW w:w="1274" w:type="dxa"/>
          </w:tcPr>
          <w:p>
            <w:pPr>
              <w:pStyle w:val="TableParagraph"/>
              <w:spacing w:line="219" w:lineRule="exact" w:before="0"/>
              <w:ind w:right="92"/>
              <w:rPr>
                <w:rFonts w:ascii="Times New Roman"/>
                <w:sz w:val="20"/>
              </w:rPr>
            </w:pPr>
            <w:r>
              <w:rPr>
                <w:rFonts w:ascii="Times New Roman"/>
                <w:sz w:val="20"/>
              </w:rPr>
              <w:t>500,00</w:t>
            </w:r>
          </w:p>
        </w:tc>
        <w:tc>
          <w:tcPr>
            <w:tcW w:w="5388" w:type="dxa"/>
          </w:tcPr>
          <w:p>
            <w:pPr>
              <w:pStyle w:val="TableParagraph"/>
              <w:spacing w:line="219" w:lineRule="exact" w:before="0"/>
              <w:ind w:left="146"/>
              <w:jc w:val="left"/>
              <w:rPr>
                <w:rFonts w:ascii="Times New Roman" w:hAnsi="Times New Roman"/>
                <w:sz w:val="20"/>
              </w:rPr>
            </w:pPr>
            <w:r>
              <w:rPr>
                <w:rFonts w:ascii="Times New Roman" w:hAnsi="Times New Roman"/>
                <w:sz w:val="20"/>
              </w:rPr>
              <w:t>- donacija za troškove komemoracije za žrtve Bleiburga</w:t>
            </w:r>
          </w:p>
        </w:tc>
      </w:tr>
      <w:tr>
        <w:trPr>
          <w:trHeight w:val="460" w:hRule="atLeast"/>
        </w:trPr>
        <w:tc>
          <w:tcPr>
            <w:tcW w:w="540" w:type="dxa"/>
          </w:tcPr>
          <w:p>
            <w:pPr>
              <w:pStyle w:val="TableParagraph"/>
              <w:spacing w:line="219" w:lineRule="exact" w:before="0"/>
              <w:ind w:left="107"/>
              <w:jc w:val="left"/>
              <w:rPr>
                <w:rFonts w:ascii="Times New Roman"/>
                <w:sz w:val="20"/>
              </w:rPr>
            </w:pPr>
            <w:r>
              <w:rPr>
                <w:rFonts w:ascii="Times New Roman"/>
                <w:sz w:val="20"/>
              </w:rPr>
              <w:t>33.</w:t>
            </w:r>
          </w:p>
        </w:tc>
        <w:tc>
          <w:tcPr>
            <w:tcW w:w="3571" w:type="dxa"/>
          </w:tcPr>
          <w:p>
            <w:pPr>
              <w:pStyle w:val="TableParagraph"/>
              <w:spacing w:line="219" w:lineRule="exact" w:before="0"/>
              <w:ind w:left="107"/>
              <w:jc w:val="left"/>
              <w:rPr>
                <w:rFonts w:ascii="Times New Roman" w:hAnsi="Times New Roman"/>
                <w:sz w:val="20"/>
              </w:rPr>
            </w:pPr>
            <w:r>
              <w:rPr>
                <w:rFonts w:ascii="Times New Roman" w:hAnsi="Times New Roman"/>
                <w:sz w:val="20"/>
              </w:rPr>
              <w:t>Dr. Cvitanović Vladimir, mr.sc.</w:t>
            </w:r>
          </w:p>
        </w:tc>
        <w:tc>
          <w:tcPr>
            <w:tcW w:w="1274" w:type="dxa"/>
          </w:tcPr>
          <w:p>
            <w:pPr>
              <w:pStyle w:val="TableParagraph"/>
              <w:spacing w:line="219" w:lineRule="exact" w:before="0"/>
              <w:ind w:right="93"/>
              <w:rPr>
                <w:rFonts w:ascii="Times New Roman"/>
                <w:sz w:val="20"/>
              </w:rPr>
            </w:pPr>
            <w:r>
              <w:rPr>
                <w:rFonts w:ascii="Times New Roman"/>
                <w:sz w:val="20"/>
              </w:rPr>
              <w:t>3.000,00</w:t>
            </w:r>
          </w:p>
        </w:tc>
        <w:tc>
          <w:tcPr>
            <w:tcW w:w="5388" w:type="dxa"/>
          </w:tcPr>
          <w:p>
            <w:pPr>
              <w:pStyle w:val="TableParagraph"/>
              <w:spacing w:line="219" w:lineRule="exact" w:before="0"/>
              <w:ind w:left="146"/>
              <w:jc w:val="left"/>
              <w:rPr>
                <w:rFonts w:ascii="Times New Roman" w:hAnsi="Times New Roman"/>
                <w:sz w:val="20"/>
              </w:rPr>
            </w:pPr>
            <w:r>
              <w:rPr>
                <w:rFonts w:ascii="Times New Roman" w:hAnsi="Times New Roman"/>
                <w:sz w:val="20"/>
              </w:rPr>
              <w:t>- donacija za tiskanje knjige „Angloameričko bombardiranje</w:t>
            </w:r>
          </w:p>
          <w:p>
            <w:pPr>
              <w:pStyle w:val="TableParagraph"/>
              <w:spacing w:line="221" w:lineRule="exact" w:before="0"/>
              <w:ind w:left="146"/>
              <w:jc w:val="left"/>
              <w:rPr>
                <w:rFonts w:ascii="Times New Roman" w:hAnsi="Times New Roman"/>
                <w:sz w:val="20"/>
              </w:rPr>
            </w:pPr>
            <w:r>
              <w:rPr>
                <w:rFonts w:ascii="Times New Roman" w:hAnsi="Times New Roman"/>
                <w:sz w:val="20"/>
              </w:rPr>
              <w:t>karlovačkog i ogulinskog područja 1944.-1945. godine“</w:t>
            </w:r>
          </w:p>
        </w:tc>
      </w:tr>
      <w:tr>
        <w:trPr>
          <w:trHeight w:val="230" w:hRule="atLeast"/>
        </w:trPr>
        <w:tc>
          <w:tcPr>
            <w:tcW w:w="540" w:type="dxa"/>
          </w:tcPr>
          <w:p>
            <w:pPr>
              <w:pStyle w:val="TableParagraph"/>
              <w:spacing w:line="210" w:lineRule="exact" w:before="0"/>
              <w:ind w:left="107"/>
              <w:jc w:val="left"/>
              <w:rPr>
                <w:rFonts w:ascii="Times New Roman"/>
                <w:sz w:val="20"/>
              </w:rPr>
            </w:pPr>
            <w:r>
              <w:rPr>
                <w:rFonts w:ascii="Times New Roman"/>
                <w:sz w:val="20"/>
              </w:rPr>
              <w:t>34.</w:t>
            </w:r>
          </w:p>
        </w:tc>
        <w:tc>
          <w:tcPr>
            <w:tcW w:w="3571" w:type="dxa"/>
          </w:tcPr>
          <w:p>
            <w:pPr>
              <w:pStyle w:val="TableParagraph"/>
              <w:spacing w:line="210" w:lineRule="exact" w:before="0"/>
              <w:ind w:left="107"/>
              <w:jc w:val="left"/>
              <w:rPr>
                <w:rFonts w:ascii="Times New Roman"/>
                <w:sz w:val="20"/>
              </w:rPr>
            </w:pPr>
            <w:r>
              <w:rPr>
                <w:rFonts w:ascii="Times New Roman"/>
                <w:sz w:val="20"/>
              </w:rPr>
              <w:t>Udruga za mlade Agora</w:t>
            </w:r>
          </w:p>
        </w:tc>
        <w:tc>
          <w:tcPr>
            <w:tcW w:w="1274" w:type="dxa"/>
          </w:tcPr>
          <w:p>
            <w:pPr>
              <w:pStyle w:val="TableParagraph"/>
              <w:spacing w:line="210" w:lineRule="exact" w:before="0"/>
              <w:ind w:right="93"/>
              <w:rPr>
                <w:rFonts w:ascii="Times New Roman"/>
                <w:sz w:val="20"/>
              </w:rPr>
            </w:pPr>
            <w:r>
              <w:rPr>
                <w:rFonts w:ascii="Times New Roman"/>
                <w:sz w:val="20"/>
              </w:rPr>
              <w:t>2.768,00</w:t>
            </w:r>
          </w:p>
        </w:tc>
        <w:tc>
          <w:tcPr>
            <w:tcW w:w="5388" w:type="dxa"/>
          </w:tcPr>
          <w:p>
            <w:pPr>
              <w:pStyle w:val="TableParagraph"/>
              <w:spacing w:line="210" w:lineRule="exact" w:before="0"/>
              <w:ind w:left="146"/>
              <w:jc w:val="left"/>
              <w:rPr>
                <w:rFonts w:ascii="Times New Roman" w:hAnsi="Times New Roman"/>
                <w:sz w:val="20"/>
              </w:rPr>
            </w:pPr>
            <w:r>
              <w:rPr>
                <w:rFonts w:ascii="Times New Roman" w:hAnsi="Times New Roman"/>
                <w:sz w:val="20"/>
              </w:rPr>
              <w:t>- donacija za pokriće troškova školskog glazbenog festivala KŽ</w:t>
            </w:r>
          </w:p>
        </w:tc>
      </w:tr>
      <w:tr>
        <w:trPr>
          <w:trHeight w:val="230" w:hRule="atLeast"/>
        </w:trPr>
        <w:tc>
          <w:tcPr>
            <w:tcW w:w="540" w:type="dxa"/>
          </w:tcPr>
          <w:p>
            <w:pPr>
              <w:pStyle w:val="TableParagraph"/>
              <w:spacing w:before="0"/>
              <w:jc w:val="left"/>
              <w:rPr>
                <w:rFonts w:ascii="Times New Roman"/>
                <w:sz w:val="16"/>
              </w:rPr>
            </w:pPr>
          </w:p>
        </w:tc>
        <w:tc>
          <w:tcPr>
            <w:tcW w:w="3571" w:type="dxa"/>
          </w:tcPr>
          <w:p>
            <w:pPr>
              <w:pStyle w:val="TableParagraph"/>
              <w:spacing w:line="210" w:lineRule="exact" w:before="0"/>
              <w:ind w:left="107"/>
              <w:jc w:val="left"/>
              <w:rPr>
                <w:rFonts w:ascii="Times New Roman"/>
                <w:sz w:val="20"/>
              </w:rPr>
            </w:pPr>
            <w:r>
              <w:rPr>
                <w:rFonts w:ascii="Times New Roman"/>
                <w:sz w:val="20"/>
              </w:rPr>
              <w:t>UKUPNO:</w:t>
            </w:r>
          </w:p>
        </w:tc>
        <w:tc>
          <w:tcPr>
            <w:tcW w:w="1274" w:type="dxa"/>
          </w:tcPr>
          <w:p>
            <w:pPr>
              <w:pStyle w:val="TableParagraph"/>
              <w:spacing w:line="210" w:lineRule="exact" w:before="0"/>
              <w:ind w:right="91"/>
              <w:rPr>
                <w:rFonts w:ascii="Times New Roman"/>
                <w:sz w:val="20"/>
              </w:rPr>
            </w:pPr>
            <w:r>
              <w:rPr>
                <w:rFonts w:ascii="Times New Roman"/>
                <w:sz w:val="20"/>
              </w:rPr>
              <w:t>583.692,35</w:t>
            </w:r>
          </w:p>
        </w:tc>
        <w:tc>
          <w:tcPr>
            <w:tcW w:w="5388" w:type="dxa"/>
          </w:tcPr>
          <w:p>
            <w:pPr>
              <w:pStyle w:val="TableParagraph"/>
              <w:spacing w:before="0"/>
              <w:jc w:val="left"/>
              <w:rPr>
                <w:rFonts w:ascii="Times New Roman"/>
                <w:sz w:val="16"/>
              </w:rPr>
            </w:pPr>
          </w:p>
        </w:tc>
      </w:tr>
    </w:tbl>
    <w:p>
      <w:pPr>
        <w:pStyle w:val="BodyText"/>
        <w:spacing w:before="1"/>
        <w:rPr>
          <w:sz w:val="15"/>
        </w:rPr>
      </w:pPr>
    </w:p>
    <w:p>
      <w:pPr>
        <w:pStyle w:val="BodyText"/>
        <w:spacing w:before="90"/>
        <w:ind w:left="1256" w:right="1396" w:firstLine="360"/>
        <w:jc w:val="both"/>
      </w:pPr>
      <w:r>
        <w:rPr>
          <w:b/>
        </w:rPr>
        <w:t>Rashodi za nabavu nefinancijske imovine </w:t>
      </w:r>
      <w:r>
        <w:rPr/>
        <w:t>- čine 14,78% ukupnih rashoda ostvarenih u prvom polugodištu 2014. godine. Ostvareni su u iznosu od 931.851,69 kn (izvršenje: 11,77%). U odnosu na prethodnu godinu bilježe rast od 2,73%. Odnose se</w:t>
      </w:r>
      <w:r>
        <w:rPr>
          <w:spacing w:val="-8"/>
        </w:rPr>
        <w:t> </w:t>
      </w:r>
      <w:r>
        <w:rPr/>
        <w:t>na:</w:t>
      </w:r>
    </w:p>
    <w:p>
      <w:pPr>
        <w:pStyle w:val="BodyText"/>
        <w:ind w:left="1256" w:right="1390" w:firstLine="360"/>
        <w:jc w:val="both"/>
      </w:pPr>
      <w:r>
        <w:rPr/>
        <w:t>- </w:t>
      </w:r>
      <w:r>
        <w:rPr>
          <w:b/>
          <w:u w:val="thick"/>
        </w:rPr>
        <w:t>rashode za nabavu proizvedene dugotrajne imovine.</w:t>
      </w:r>
      <w:r>
        <w:rPr>
          <w:b/>
        </w:rPr>
        <w:t> </w:t>
      </w:r>
      <w:r>
        <w:rPr/>
        <w:t>Najveći udio u rashodima za nabavu proizvedene dugotrajne imovine imaju </w:t>
      </w:r>
      <w:r>
        <w:rPr>
          <w:b/>
        </w:rPr>
        <w:t>ulaganja u građevinske objekte, </w:t>
      </w:r>
      <w:r>
        <w:rPr/>
        <w:t>koji su ostvareni u iznosu od </w:t>
      </w:r>
      <w:r>
        <w:rPr>
          <w:b/>
        </w:rPr>
        <w:t>564.243,17 </w:t>
      </w:r>
      <w:r>
        <w:rPr/>
        <w:t>kn. Od navedenog se iznosa 189.455,19 kn odnosi na troškove izgradnje nerazvrstanih cesta u Jaškovu, Fratrovcima i ul. A. Šenoe. Troškove dovršetka izgradnje parkirališta iza zgrade gradske uprave iznosili su 113.702,35 </w:t>
      </w:r>
      <w:r>
        <w:rPr>
          <w:spacing w:val="-4"/>
        </w:rPr>
        <w:t>kn. </w:t>
      </w:r>
      <w:r>
        <w:rPr/>
        <w:t>Izgradnju mrtvačnice u Loviću Prekriškom Grad je sufinancirao sa iznosom od 200.000,00 kn, a 61.085,63 kn se odnosi na troškove stalnog postava zbirke Zavičajnog muzeja</w:t>
      </w:r>
      <w:r>
        <w:rPr>
          <w:spacing w:val="-15"/>
        </w:rPr>
        <w:t> </w:t>
      </w:r>
      <w:r>
        <w:rPr/>
        <w:t>Ozalj.</w:t>
      </w:r>
    </w:p>
    <w:p>
      <w:pPr>
        <w:pStyle w:val="BodyText"/>
        <w:ind w:left="1256" w:right="1395" w:firstLine="348"/>
        <w:jc w:val="both"/>
      </w:pPr>
      <w:r>
        <w:rPr>
          <w:b/>
        </w:rPr>
        <w:t>Rashodi za nabavu postrojenja i opreme </w:t>
      </w:r>
      <w:r>
        <w:rPr/>
        <w:t>ostvareni su u iznosu od 80.591,00 kn (izvršenje: 23,50%), a odnose se na troškove nabave računala i računalne opreme za potrebe gradske uprave i dječjeg vrtića „Zvončić“ (8.591,00 kn), na nabavu opreme (rashladne vitrine,</w:t>
      </w:r>
    </w:p>
    <w:p>
      <w:pPr>
        <w:spacing w:after="0"/>
        <w:jc w:val="both"/>
        <w:sectPr>
          <w:pgSz w:w="11910" w:h="16840"/>
          <w:pgMar w:header="0" w:footer="769" w:top="980" w:bottom="960" w:left="160" w:right="20"/>
        </w:sectPr>
      </w:pPr>
    </w:p>
    <w:p>
      <w:pPr>
        <w:pStyle w:val="BodyText"/>
        <w:spacing w:before="68"/>
        <w:ind w:left="1256" w:right="1480"/>
      </w:pPr>
      <w:r>
        <w:rPr/>
        <w:t>dječjeg igrala i sl.) za potrebe Dječjeg vrtića Zvončić (42.050,00 kn), te na troškove nabave opreme (prikolica za traktor) za potrebe vlastitog pogona Grada Ozlja (17.950,00 kn).</w:t>
      </w:r>
    </w:p>
    <w:p>
      <w:pPr>
        <w:spacing w:before="0"/>
        <w:ind w:left="1256" w:right="1480" w:firstLine="360"/>
        <w:jc w:val="left"/>
        <w:rPr>
          <w:rFonts w:ascii="Times New Roman" w:hAnsi="Times New Roman"/>
          <w:sz w:val="24"/>
        </w:rPr>
      </w:pPr>
      <w:r>
        <w:rPr>
          <w:rFonts w:ascii="Times New Roman" w:hAnsi="Times New Roman"/>
          <w:sz w:val="24"/>
        </w:rPr>
        <w:t>R</w:t>
      </w:r>
      <w:r>
        <w:rPr>
          <w:rFonts w:ascii="Times New Roman" w:hAnsi="Times New Roman"/>
          <w:b/>
          <w:sz w:val="24"/>
        </w:rPr>
        <w:t>ashodi za nabavu knjiga, umjetničkih djela i ostalih izložbenih vrijednosti </w:t>
      </w:r>
      <w:r>
        <w:rPr>
          <w:rFonts w:ascii="Times New Roman" w:hAnsi="Times New Roman"/>
          <w:sz w:val="24"/>
        </w:rPr>
        <w:t>iznosili su 44.998,52 kn, a isti se odnose na nabavu knjiga za gradsku</w:t>
      </w:r>
      <w:r>
        <w:rPr>
          <w:rFonts w:ascii="Times New Roman" w:hAnsi="Times New Roman"/>
          <w:spacing w:val="-6"/>
          <w:sz w:val="24"/>
        </w:rPr>
        <w:t> </w:t>
      </w:r>
      <w:r>
        <w:rPr>
          <w:rFonts w:ascii="Times New Roman" w:hAnsi="Times New Roman"/>
          <w:sz w:val="24"/>
        </w:rPr>
        <w:t>knjižnicu.</w:t>
      </w:r>
    </w:p>
    <w:p>
      <w:pPr>
        <w:spacing w:before="0"/>
        <w:ind w:left="1256" w:right="1386" w:firstLine="348"/>
        <w:jc w:val="left"/>
        <w:rPr>
          <w:rFonts w:ascii="Times New Roman" w:hAnsi="Times New Roman"/>
          <w:sz w:val="24"/>
        </w:rPr>
      </w:pPr>
      <w:r>
        <w:rPr>
          <w:rFonts w:ascii="Times New Roman" w:hAnsi="Times New Roman"/>
          <w:b/>
          <w:sz w:val="24"/>
        </w:rPr>
        <w:t>Rashodi za nabavu nematerijane proizvedene imovine </w:t>
      </w:r>
      <w:r>
        <w:rPr>
          <w:rFonts w:ascii="Times New Roman" w:hAnsi="Times New Roman"/>
          <w:sz w:val="24"/>
        </w:rPr>
        <w:t>su u prvoj polovici 2014. godine iznosili 8.845,00 kn, a odnose se na rashode Gradske knižnice i čitaonice I. Belostenca.</w:t>
      </w:r>
    </w:p>
    <w:p>
      <w:pPr>
        <w:pStyle w:val="BodyText"/>
      </w:pPr>
    </w:p>
    <w:p>
      <w:pPr>
        <w:spacing w:before="0"/>
        <w:ind w:left="1256" w:right="1480" w:firstLine="360"/>
        <w:jc w:val="left"/>
        <w:rPr>
          <w:rFonts w:ascii="Times New Roman"/>
          <w:sz w:val="24"/>
        </w:rPr>
      </w:pPr>
      <w:r>
        <w:rPr>
          <w:rFonts w:ascii="Times New Roman"/>
          <w:b/>
          <w:sz w:val="24"/>
        </w:rPr>
        <w:t>Izdataka za financijsku imovinu i otplate zajmova </w:t>
      </w:r>
      <w:r>
        <w:rPr>
          <w:rFonts w:ascii="Times New Roman"/>
          <w:sz w:val="24"/>
        </w:rPr>
        <w:t>u prvoj polovici 2014. godine nije bilo.</w:t>
      </w:r>
    </w:p>
    <w:p>
      <w:pPr>
        <w:pStyle w:val="BodyText"/>
      </w:pPr>
    </w:p>
    <w:p>
      <w:pPr>
        <w:pStyle w:val="BodyText"/>
        <w:ind w:left="1256" w:right="1395"/>
        <w:jc w:val="both"/>
      </w:pPr>
      <w:r>
        <w:rPr/>
        <w:drawing>
          <wp:anchor distT="0" distB="0" distL="0" distR="0" allowOverlap="1" layoutInCell="1" locked="0" behindDoc="0" simplePos="0" relativeHeight="15731200">
            <wp:simplePos x="0" y="0"/>
            <wp:positionH relativeFrom="page">
              <wp:posOffset>457200</wp:posOffset>
            </wp:positionH>
            <wp:positionV relativeFrom="paragraph">
              <wp:posOffset>712179</wp:posOffset>
            </wp:positionV>
            <wp:extent cx="6547104" cy="2444496"/>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5" cstate="print"/>
                    <a:stretch>
                      <a:fillRect/>
                    </a:stretch>
                  </pic:blipFill>
                  <pic:spPr>
                    <a:xfrm>
                      <a:off x="0" y="0"/>
                      <a:ext cx="6547104" cy="2444496"/>
                    </a:xfrm>
                    <a:prstGeom prst="rect">
                      <a:avLst/>
                    </a:prstGeom>
                  </pic:spPr>
                </pic:pic>
              </a:graphicData>
            </a:graphic>
          </wp:anchor>
        </w:drawing>
      </w:r>
      <w:r>
        <w:rPr/>
        <w:t>U nastavku se daje grafički prikaz rashoda/izdataka ostvarenih u prvom polugodištu 2014. godine u odnosu na isto izvještajno razdoblje prethodne godine te u odnosu na godišnji plan za 2014. godinu: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tbl>
      <w:tblPr>
        <w:tblW w:w="0" w:type="auto"/>
        <w:jc w:val="left"/>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4284"/>
        <w:gridCol w:w="1702"/>
        <w:gridCol w:w="1702"/>
        <w:gridCol w:w="1700"/>
      </w:tblGrid>
      <w:tr>
        <w:trPr>
          <w:trHeight w:val="386" w:hRule="atLeast"/>
        </w:trPr>
        <w:tc>
          <w:tcPr>
            <w:tcW w:w="960" w:type="dxa"/>
            <w:shd w:val="clear" w:color="auto" w:fill="FFFFCC"/>
          </w:tcPr>
          <w:p>
            <w:pPr>
              <w:pStyle w:val="TableParagraph"/>
              <w:spacing w:before="0"/>
              <w:ind w:left="107" w:right="383" w:firstLine="40"/>
              <w:jc w:val="left"/>
              <w:rPr>
                <w:rFonts w:ascii="Times New Roman"/>
                <w:sz w:val="16"/>
              </w:rPr>
            </w:pPr>
            <w:r>
              <w:rPr>
                <w:rFonts w:ascii="Times New Roman"/>
                <w:sz w:val="16"/>
              </w:rPr>
              <w:t>Grupa konta</w:t>
            </w:r>
          </w:p>
        </w:tc>
        <w:tc>
          <w:tcPr>
            <w:tcW w:w="4284" w:type="dxa"/>
            <w:shd w:val="clear" w:color="auto" w:fill="FFFFCC"/>
          </w:tcPr>
          <w:p>
            <w:pPr>
              <w:pStyle w:val="TableParagraph"/>
              <w:spacing w:line="191" w:lineRule="exact" w:before="0"/>
              <w:ind w:left="107"/>
              <w:jc w:val="left"/>
              <w:rPr>
                <w:sz w:val="16"/>
              </w:rPr>
            </w:pPr>
            <w:r>
              <w:rPr>
                <w:sz w:val="16"/>
              </w:rPr>
              <w:t>VRSTA RASHODA</w:t>
            </w:r>
          </w:p>
        </w:tc>
        <w:tc>
          <w:tcPr>
            <w:tcW w:w="1702" w:type="dxa"/>
            <w:shd w:val="clear" w:color="auto" w:fill="006699"/>
          </w:tcPr>
          <w:p>
            <w:pPr>
              <w:pStyle w:val="TableParagraph"/>
              <w:spacing w:line="191" w:lineRule="exact" w:before="0"/>
              <w:ind w:left="177" w:right="168"/>
              <w:jc w:val="center"/>
              <w:rPr>
                <w:sz w:val="16"/>
              </w:rPr>
            </w:pPr>
            <w:r>
              <w:rPr>
                <w:sz w:val="16"/>
              </w:rPr>
              <w:t>iZVRŠENO 01.01.-</w:t>
            </w:r>
          </w:p>
          <w:p>
            <w:pPr>
              <w:pStyle w:val="TableParagraph"/>
              <w:spacing w:line="173" w:lineRule="exact" w:before="1"/>
              <w:ind w:left="175" w:right="168"/>
              <w:jc w:val="center"/>
              <w:rPr>
                <w:sz w:val="16"/>
              </w:rPr>
            </w:pPr>
            <w:r>
              <w:rPr>
                <w:sz w:val="16"/>
              </w:rPr>
              <w:t>30.06.2013.</w:t>
            </w:r>
          </w:p>
        </w:tc>
        <w:tc>
          <w:tcPr>
            <w:tcW w:w="1702" w:type="dxa"/>
            <w:shd w:val="clear" w:color="auto" w:fill="DBE5F1"/>
          </w:tcPr>
          <w:p>
            <w:pPr>
              <w:pStyle w:val="TableParagraph"/>
              <w:spacing w:line="191" w:lineRule="exact" w:before="0"/>
              <w:ind w:left="177" w:right="168"/>
              <w:jc w:val="center"/>
              <w:rPr>
                <w:sz w:val="16"/>
              </w:rPr>
            </w:pPr>
            <w:r>
              <w:rPr>
                <w:sz w:val="16"/>
              </w:rPr>
              <w:t>Planirano za 2014.</w:t>
            </w:r>
          </w:p>
          <w:p>
            <w:pPr>
              <w:pStyle w:val="TableParagraph"/>
              <w:spacing w:line="173" w:lineRule="exact" w:before="1"/>
              <w:ind w:left="176" w:right="168"/>
              <w:jc w:val="center"/>
              <w:rPr>
                <w:sz w:val="16"/>
              </w:rPr>
            </w:pPr>
            <w:r>
              <w:rPr>
                <w:sz w:val="16"/>
              </w:rPr>
              <w:t>GODINU</w:t>
            </w:r>
          </w:p>
        </w:tc>
        <w:tc>
          <w:tcPr>
            <w:tcW w:w="1700" w:type="dxa"/>
            <w:shd w:val="clear" w:color="auto" w:fill="5979D5"/>
          </w:tcPr>
          <w:p>
            <w:pPr>
              <w:pStyle w:val="TableParagraph"/>
              <w:spacing w:line="191" w:lineRule="exact" w:before="0"/>
              <w:ind w:left="279"/>
              <w:jc w:val="left"/>
              <w:rPr>
                <w:sz w:val="16"/>
              </w:rPr>
            </w:pPr>
            <w:r>
              <w:rPr>
                <w:sz w:val="16"/>
              </w:rPr>
              <w:t>IZVRŠENO 01.01.-</w:t>
            </w:r>
          </w:p>
          <w:p>
            <w:pPr>
              <w:pStyle w:val="TableParagraph"/>
              <w:spacing w:line="173" w:lineRule="exact" w:before="1"/>
              <w:ind w:left="426"/>
              <w:jc w:val="left"/>
              <w:rPr>
                <w:sz w:val="16"/>
              </w:rPr>
            </w:pPr>
            <w:r>
              <w:rPr>
                <w:sz w:val="16"/>
              </w:rPr>
              <w:t>30.06.2014.</w:t>
            </w:r>
          </w:p>
        </w:tc>
      </w:tr>
      <w:tr>
        <w:trPr>
          <w:trHeight w:val="227" w:hRule="atLeast"/>
        </w:trPr>
        <w:tc>
          <w:tcPr>
            <w:tcW w:w="960" w:type="dxa"/>
            <w:shd w:val="clear" w:color="auto" w:fill="FFFFCC"/>
          </w:tcPr>
          <w:p>
            <w:pPr>
              <w:pStyle w:val="TableParagraph"/>
              <w:spacing w:line="178" w:lineRule="exact" w:before="0"/>
              <w:ind w:left="378" w:right="371"/>
              <w:jc w:val="center"/>
              <w:rPr>
                <w:rFonts w:ascii="Times New Roman"/>
                <w:sz w:val="16"/>
              </w:rPr>
            </w:pPr>
            <w:r>
              <w:rPr>
                <w:rFonts w:ascii="Times New Roman"/>
                <w:sz w:val="16"/>
              </w:rPr>
              <w:t>31</w:t>
            </w:r>
          </w:p>
        </w:tc>
        <w:tc>
          <w:tcPr>
            <w:tcW w:w="4284" w:type="dxa"/>
          </w:tcPr>
          <w:p>
            <w:pPr>
              <w:pStyle w:val="TableParagraph"/>
              <w:spacing w:line="178" w:lineRule="exact" w:before="0"/>
              <w:ind w:left="107"/>
              <w:jc w:val="left"/>
              <w:rPr>
                <w:rFonts w:ascii="Times New Roman"/>
                <w:sz w:val="16"/>
              </w:rPr>
            </w:pPr>
            <w:r>
              <w:rPr>
                <w:rFonts w:ascii="Times New Roman"/>
                <w:sz w:val="16"/>
              </w:rPr>
              <w:t>Rashodi za zaposlene</w:t>
            </w:r>
          </w:p>
        </w:tc>
        <w:tc>
          <w:tcPr>
            <w:tcW w:w="1702" w:type="dxa"/>
          </w:tcPr>
          <w:p>
            <w:pPr>
              <w:pStyle w:val="TableParagraph"/>
              <w:spacing w:line="178" w:lineRule="exact" w:before="0"/>
              <w:ind w:right="95"/>
              <w:rPr>
                <w:rFonts w:ascii="Times New Roman"/>
                <w:sz w:val="16"/>
              </w:rPr>
            </w:pPr>
            <w:r>
              <w:rPr>
                <w:rFonts w:ascii="Times New Roman"/>
                <w:sz w:val="16"/>
              </w:rPr>
              <w:t>2.052.941,70</w:t>
            </w:r>
          </w:p>
        </w:tc>
        <w:tc>
          <w:tcPr>
            <w:tcW w:w="1702" w:type="dxa"/>
          </w:tcPr>
          <w:p>
            <w:pPr>
              <w:pStyle w:val="TableParagraph"/>
              <w:spacing w:line="170" w:lineRule="exact" w:before="37"/>
              <w:ind w:right="95"/>
              <w:rPr>
                <w:rFonts w:ascii="Times New Roman"/>
                <w:sz w:val="16"/>
              </w:rPr>
            </w:pPr>
            <w:r>
              <w:rPr>
                <w:rFonts w:ascii="Times New Roman"/>
                <w:sz w:val="16"/>
              </w:rPr>
              <w:t>4.462.407,91</w:t>
            </w:r>
          </w:p>
        </w:tc>
        <w:tc>
          <w:tcPr>
            <w:tcW w:w="1700" w:type="dxa"/>
          </w:tcPr>
          <w:p>
            <w:pPr>
              <w:pStyle w:val="TableParagraph"/>
              <w:spacing w:line="170" w:lineRule="exact" w:before="37"/>
              <w:ind w:right="93"/>
              <w:rPr>
                <w:rFonts w:ascii="Times New Roman"/>
                <w:sz w:val="16"/>
              </w:rPr>
            </w:pPr>
            <w:r>
              <w:rPr>
                <w:rFonts w:ascii="Times New Roman"/>
                <w:sz w:val="16"/>
              </w:rPr>
              <w:t>1.940.792,86</w:t>
            </w:r>
          </w:p>
        </w:tc>
      </w:tr>
      <w:tr>
        <w:trPr>
          <w:trHeight w:val="184" w:hRule="atLeast"/>
        </w:trPr>
        <w:tc>
          <w:tcPr>
            <w:tcW w:w="960" w:type="dxa"/>
            <w:shd w:val="clear" w:color="auto" w:fill="FFFFCC"/>
          </w:tcPr>
          <w:p>
            <w:pPr>
              <w:pStyle w:val="TableParagraph"/>
              <w:spacing w:line="164" w:lineRule="exact" w:before="0"/>
              <w:ind w:left="378" w:right="371"/>
              <w:jc w:val="center"/>
              <w:rPr>
                <w:rFonts w:ascii="Times New Roman"/>
                <w:sz w:val="16"/>
              </w:rPr>
            </w:pPr>
            <w:r>
              <w:rPr>
                <w:rFonts w:ascii="Times New Roman"/>
                <w:sz w:val="16"/>
              </w:rPr>
              <w:t>32</w:t>
            </w:r>
          </w:p>
        </w:tc>
        <w:tc>
          <w:tcPr>
            <w:tcW w:w="4284" w:type="dxa"/>
          </w:tcPr>
          <w:p>
            <w:pPr>
              <w:pStyle w:val="TableParagraph"/>
              <w:spacing w:line="164" w:lineRule="exact" w:before="0"/>
              <w:ind w:left="107"/>
              <w:jc w:val="left"/>
              <w:rPr>
                <w:rFonts w:ascii="Times New Roman"/>
                <w:sz w:val="16"/>
              </w:rPr>
            </w:pPr>
            <w:r>
              <w:rPr>
                <w:rFonts w:ascii="Times New Roman"/>
                <w:sz w:val="16"/>
              </w:rPr>
              <w:t>Materijalni rashodi</w:t>
            </w:r>
          </w:p>
        </w:tc>
        <w:tc>
          <w:tcPr>
            <w:tcW w:w="1702" w:type="dxa"/>
          </w:tcPr>
          <w:p>
            <w:pPr>
              <w:pStyle w:val="TableParagraph"/>
              <w:spacing w:line="164" w:lineRule="exact" w:before="0"/>
              <w:ind w:right="95"/>
              <w:rPr>
                <w:rFonts w:ascii="Times New Roman"/>
                <w:sz w:val="16"/>
              </w:rPr>
            </w:pPr>
            <w:r>
              <w:rPr>
                <w:rFonts w:ascii="Times New Roman"/>
                <w:sz w:val="16"/>
              </w:rPr>
              <w:t>2.903.098,73</w:t>
            </w:r>
          </w:p>
        </w:tc>
        <w:tc>
          <w:tcPr>
            <w:tcW w:w="1702" w:type="dxa"/>
          </w:tcPr>
          <w:p>
            <w:pPr>
              <w:pStyle w:val="TableParagraph"/>
              <w:spacing w:line="164" w:lineRule="exact" w:before="0"/>
              <w:ind w:right="95"/>
              <w:rPr>
                <w:rFonts w:ascii="Times New Roman"/>
                <w:sz w:val="16"/>
              </w:rPr>
            </w:pPr>
            <w:r>
              <w:rPr>
                <w:rFonts w:ascii="Times New Roman"/>
                <w:sz w:val="16"/>
              </w:rPr>
              <w:t>5.926.252,96</w:t>
            </w:r>
          </w:p>
        </w:tc>
        <w:tc>
          <w:tcPr>
            <w:tcW w:w="1700" w:type="dxa"/>
          </w:tcPr>
          <w:p>
            <w:pPr>
              <w:pStyle w:val="TableParagraph"/>
              <w:spacing w:line="164" w:lineRule="exact" w:before="0"/>
              <w:ind w:right="93"/>
              <w:rPr>
                <w:rFonts w:ascii="Times New Roman"/>
                <w:sz w:val="16"/>
              </w:rPr>
            </w:pPr>
            <w:r>
              <w:rPr>
                <w:rFonts w:ascii="Times New Roman"/>
                <w:sz w:val="16"/>
              </w:rPr>
              <w:t>2.504.140,71</w:t>
            </w:r>
          </w:p>
        </w:tc>
      </w:tr>
      <w:tr>
        <w:trPr>
          <w:trHeight w:val="186" w:hRule="atLeast"/>
        </w:trPr>
        <w:tc>
          <w:tcPr>
            <w:tcW w:w="960" w:type="dxa"/>
            <w:shd w:val="clear" w:color="auto" w:fill="FFFFCC"/>
          </w:tcPr>
          <w:p>
            <w:pPr>
              <w:pStyle w:val="TableParagraph"/>
              <w:spacing w:line="167" w:lineRule="exact" w:before="0"/>
              <w:ind w:left="378" w:right="371"/>
              <w:jc w:val="center"/>
              <w:rPr>
                <w:rFonts w:ascii="Times New Roman"/>
                <w:sz w:val="16"/>
              </w:rPr>
            </w:pPr>
            <w:r>
              <w:rPr>
                <w:rFonts w:ascii="Times New Roman"/>
                <w:sz w:val="16"/>
              </w:rPr>
              <w:t>34</w:t>
            </w:r>
          </w:p>
        </w:tc>
        <w:tc>
          <w:tcPr>
            <w:tcW w:w="4284" w:type="dxa"/>
          </w:tcPr>
          <w:p>
            <w:pPr>
              <w:pStyle w:val="TableParagraph"/>
              <w:spacing w:line="167" w:lineRule="exact" w:before="0"/>
              <w:ind w:left="107"/>
              <w:jc w:val="left"/>
              <w:rPr>
                <w:rFonts w:ascii="Times New Roman"/>
                <w:sz w:val="16"/>
              </w:rPr>
            </w:pPr>
            <w:r>
              <w:rPr>
                <w:rFonts w:ascii="Times New Roman"/>
                <w:sz w:val="16"/>
              </w:rPr>
              <w:t>Financijski rashodi</w:t>
            </w:r>
          </w:p>
        </w:tc>
        <w:tc>
          <w:tcPr>
            <w:tcW w:w="1702" w:type="dxa"/>
          </w:tcPr>
          <w:p>
            <w:pPr>
              <w:pStyle w:val="TableParagraph"/>
              <w:spacing w:line="167" w:lineRule="exact" w:before="0"/>
              <w:ind w:right="94"/>
              <w:rPr>
                <w:rFonts w:ascii="Times New Roman"/>
                <w:sz w:val="16"/>
              </w:rPr>
            </w:pPr>
            <w:r>
              <w:rPr>
                <w:rFonts w:ascii="Times New Roman"/>
                <w:sz w:val="16"/>
              </w:rPr>
              <w:t>17.348,49</w:t>
            </w:r>
          </w:p>
        </w:tc>
        <w:tc>
          <w:tcPr>
            <w:tcW w:w="1702" w:type="dxa"/>
          </w:tcPr>
          <w:p>
            <w:pPr>
              <w:pStyle w:val="TableParagraph"/>
              <w:spacing w:line="167" w:lineRule="exact" w:before="0"/>
              <w:ind w:right="93"/>
              <w:rPr>
                <w:rFonts w:ascii="Times New Roman"/>
                <w:sz w:val="16"/>
              </w:rPr>
            </w:pPr>
            <w:r>
              <w:rPr>
                <w:rFonts w:ascii="Times New Roman"/>
                <w:sz w:val="16"/>
              </w:rPr>
              <w:t>134.000,00</w:t>
            </w:r>
          </w:p>
        </w:tc>
        <w:tc>
          <w:tcPr>
            <w:tcW w:w="1700" w:type="dxa"/>
          </w:tcPr>
          <w:p>
            <w:pPr>
              <w:pStyle w:val="TableParagraph"/>
              <w:spacing w:line="167" w:lineRule="exact" w:before="0"/>
              <w:ind w:right="95"/>
              <w:rPr>
                <w:rFonts w:ascii="Times New Roman"/>
                <w:sz w:val="16"/>
              </w:rPr>
            </w:pPr>
            <w:r>
              <w:rPr>
                <w:rFonts w:ascii="Times New Roman"/>
                <w:sz w:val="16"/>
              </w:rPr>
              <w:t>55.710,63</w:t>
            </w:r>
          </w:p>
        </w:tc>
      </w:tr>
      <w:tr>
        <w:trPr>
          <w:trHeight w:val="184" w:hRule="atLeast"/>
        </w:trPr>
        <w:tc>
          <w:tcPr>
            <w:tcW w:w="960" w:type="dxa"/>
            <w:shd w:val="clear" w:color="auto" w:fill="FFFFCC"/>
          </w:tcPr>
          <w:p>
            <w:pPr>
              <w:pStyle w:val="TableParagraph"/>
              <w:spacing w:line="164" w:lineRule="exact" w:before="0"/>
              <w:ind w:left="378" w:right="371"/>
              <w:jc w:val="center"/>
              <w:rPr>
                <w:rFonts w:ascii="Times New Roman"/>
                <w:sz w:val="16"/>
              </w:rPr>
            </w:pPr>
            <w:r>
              <w:rPr>
                <w:rFonts w:ascii="Times New Roman"/>
                <w:sz w:val="16"/>
              </w:rPr>
              <w:t>35</w:t>
            </w:r>
          </w:p>
        </w:tc>
        <w:tc>
          <w:tcPr>
            <w:tcW w:w="4284" w:type="dxa"/>
          </w:tcPr>
          <w:p>
            <w:pPr>
              <w:pStyle w:val="TableParagraph"/>
              <w:spacing w:line="164" w:lineRule="exact" w:before="0"/>
              <w:ind w:left="107"/>
              <w:jc w:val="left"/>
              <w:rPr>
                <w:rFonts w:ascii="Times New Roman"/>
                <w:sz w:val="16"/>
              </w:rPr>
            </w:pPr>
            <w:r>
              <w:rPr>
                <w:rFonts w:ascii="Times New Roman"/>
                <w:sz w:val="16"/>
              </w:rPr>
              <w:t>Subvencije</w:t>
            </w:r>
          </w:p>
        </w:tc>
        <w:tc>
          <w:tcPr>
            <w:tcW w:w="1702" w:type="dxa"/>
          </w:tcPr>
          <w:p>
            <w:pPr>
              <w:pStyle w:val="TableParagraph"/>
              <w:spacing w:line="164" w:lineRule="exact" w:before="0"/>
              <w:ind w:right="92"/>
              <w:rPr>
                <w:rFonts w:ascii="Times New Roman"/>
                <w:sz w:val="16"/>
              </w:rPr>
            </w:pPr>
            <w:r>
              <w:rPr>
                <w:rFonts w:ascii="Times New Roman"/>
                <w:sz w:val="16"/>
              </w:rPr>
              <w:t>4.687,31</w:t>
            </w:r>
          </w:p>
        </w:tc>
        <w:tc>
          <w:tcPr>
            <w:tcW w:w="1702" w:type="dxa"/>
          </w:tcPr>
          <w:p>
            <w:pPr>
              <w:pStyle w:val="TableParagraph"/>
              <w:spacing w:line="164" w:lineRule="exact" w:before="0"/>
              <w:ind w:right="93"/>
              <w:rPr>
                <w:rFonts w:ascii="Times New Roman"/>
                <w:sz w:val="16"/>
              </w:rPr>
            </w:pPr>
            <w:r>
              <w:rPr>
                <w:rFonts w:ascii="Times New Roman"/>
                <w:sz w:val="16"/>
              </w:rPr>
              <w:t>174.000,00</w:t>
            </w:r>
          </w:p>
        </w:tc>
        <w:tc>
          <w:tcPr>
            <w:tcW w:w="1700" w:type="dxa"/>
          </w:tcPr>
          <w:p>
            <w:pPr>
              <w:pStyle w:val="TableParagraph"/>
              <w:spacing w:line="164" w:lineRule="exact" w:before="0"/>
              <w:ind w:right="91"/>
              <w:rPr>
                <w:rFonts w:ascii="Times New Roman"/>
                <w:sz w:val="16"/>
              </w:rPr>
            </w:pPr>
            <w:r>
              <w:rPr>
                <w:rFonts w:ascii="Times New Roman"/>
                <w:sz w:val="16"/>
              </w:rPr>
              <w:t>8.383,65</w:t>
            </w:r>
          </w:p>
        </w:tc>
      </w:tr>
      <w:tr>
        <w:trPr>
          <w:trHeight w:val="184" w:hRule="atLeast"/>
        </w:trPr>
        <w:tc>
          <w:tcPr>
            <w:tcW w:w="960" w:type="dxa"/>
            <w:shd w:val="clear" w:color="auto" w:fill="FFFFCC"/>
          </w:tcPr>
          <w:p>
            <w:pPr>
              <w:pStyle w:val="TableParagraph"/>
              <w:spacing w:line="164" w:lineRule="exact" w:before="0"/>
              <w:ind w:left="378" w:right="371"/>
              <w:jc w:val="center"/>
              <w:rPr>
                <w:rFonts w:ascii="Times New Roman"/>
                <w:sz w:val="16"/>
              </w:rPr>
            </w:pPr>
            <w:r>
              <w:rPr>
                <w:rFonts w:ascii="Times New Roman"/>
                <w:sz w:val="16"/>
              </w:rPr>
              <w:t>37</w:t>
            </w:r>
          </w:p>
        </w:tc>
        <w:tc>
          <w:tcPr>
            <w:tcW w:w="4284" w:type="dxa"/>
          </w:tcPr>
          <w:p>
            <w:pPr>
              <w:pStyle w:val="TableParagraph"/>
              <w:spacing w:line="164" w:lineRule="exact" w:before="0"/>
              <w:ind w:left="107"/>
              <w:jc w:val="left"/>
              <w:rPr>
                <w:rFonts w:ascii="Times New Roman" w:hAnsi="Times New Roman"/>
                <w:sz w:val="16"/>
              </w:rPr>
            </w:pPr>
            <w:r>
              <w:rPr>
                <w:rFonts w:ascii="Times New Roman" w:hAnsi="Times New Roman"/>
                <w:sz w:val="16"/>
              </w:rPr>
              <w:t>Naknade građ.i kućanstvima na temelju osig.i druge naknade</w:t>
            </w:r>
          </w:p>
        </w:tc>
        <w:tc>
          <w:tcPr>
            <w:tcW w:w="1702" w:type="dxa"/>
          </w:tcPr>
          <w:p>
            <w:pPr>
              <w:pStyle w:val="TableParagraph"/>
              <w:spacing w:line="164" w:lineRule="exact" w:before="0"/>
              <w:ind w:right="95"/>
              <w:rPr>
                <w:rFonts w:ascii="Times New Roman"/>
                <w:sz w:val="16"/>
              </w:rPr>
            </w:pPr>
            <w:r>
              <w:rPr>
                <w:rFonts w:ascii="Times New Roman"/>
                <w:sz w:val="16"/>
              </w:rPr>
              <w:t>382.420,58</w:t>
            </w:r>
          </w:p>
        </w:tc>
        <w:tc>
          <w:tcPr>
            <w:tcW w:w="1702" w:type="dxa"/>
          </w:tcPr>
          <w:p>
            <w:pPr>
              <w:pStyle w:val="TableParagraph"/>
              <w:spacing w:line="164" w:lineRule="exact" w:before="0"/>
              <w:ind w:right="93"/>
              <w:rPr>
                <w:rFonts w:ascii="Times New Roman"/>
                <w:sz w:val="16"/>
              </w:rPr>
            </w:pPr>
            <w:r>
              <w:rPr>
                <w:rFonts w:ascii="Times New Roman"/>
                <w:sz w:val="16"/>
              </w:rPr>
              <w:t>588.000,00</w:t>
            </w:r>
          </w:p>
        </w:tc>
        <w:tc>
          <w:tcPr>
            <w:tcW w:w="1700" w:type="dxa"/>
          </w:tcPr>
          <w:p>
            <w:pPr>
              <w:pStyle w:val="TableParagraph"/>
              <w:spacing w:line="164" w:lineRule="exact" w:before="0"/>
              <w:ind w:right="91"/>
              <w:rPr>
                <w:rFonts w:ascii="Times New Roman"/>
                <w:sz w:val="16"/>
              </w:rPr>
            </w:pPr>
            <w:r>
              <w:rPr>
                <w:rFonts w:ascii="Times New Roman"/>
                <w:sz w:val="16"/>
              </w:rPr>
              <w:t>281.055,56</w:t>
            </w:r>
          </w:p>
        </w:tc>
      </w:tr>
      <w:tr>
        <w:trPr>
          <w:trHeight w:val="184" w:hRule="atLeast"/>
        </w:trPr>
        <w:tc>
          <w:tcPr>
            <w:tcW w:w="960" w:type="dxa"/>
            <w:shd w:val="clear" w:color="auto" w:fill="FFFFCC"/>
          </w:tcPr>
          <w:p>
            <w:pPr>
              <w:pStyle w:val="TableParagraph"/>
              <w:spacing w:line="164" w:lineRule="exact" w:before="0"/>
              <w:ind w:left="378" w:right="371"/>
              <w:jc w:val="center"/>
              <w:rPr>
                <w:rFonts w:ascii="Times New Roman"/>
                <w:sz w:val="16"/>
              </w:rPr>
            </w:pPr>
            <w:r>
              <w:rPr>
                <w:rFonts w:ascii="Times New Roman"/>
                <w:sz w:val="16"/>
              </w:rPr>
              <w:t>38</w:t>
            </w:r>
          </w:p>
        </w:tc>
        <w:tc>
          <w:tcPr>
            <w:tcW w:w="4284" w:type="dxa"/>
          </w:tcPr>
          <w:p>
            <w:pPr>
              <w:pStyle w:val="TableParagraph"/>
              <w:spacing w:line="164" w:lineRule="exact" w:before="0"/>
              <w:ind w:left="107"/>
              <w:jc w:val="left"/>
              <w:rPr>
                <w:rFonts w:ascii="Times New Roman"/>
                <w:sz w:val="16"/>
              </w:rPr>
            </w:pPr>
            <w:r>
              <w:rPr>
                <w:rFonts w:ascii="Times New Roman"/>
                <w:sz w:val="16"/>
              </w:rPr>
              <w:t>Ostali rashodi</w:t>
            </w:r>
          </w:p>
        </w:tc>
        <w:tc>
          <w:tcPr>
            <w:tcW w:w="1702" w:type="dxa"/>
          </w:tcPr>
          <w:p>
            <w:pPr>
              <w:pStyle w:val="TableParagraph"/>
              <w:spacing w:line="164" w:lineRule="exact" w:before="0"/>
              <w:ind w:right="95"/>
              <w:rPr>
                <w:rFonts w:ascii="Times New Roman"/>
                <w:sz w:val="16"/>
              </w:rPr>
            </w:pPr>
            <w:r>
              <w:rPr>
                <w:rFonts w:ascii="Times New Roman"/>
                <w:sz w:val="16"/>
              </w:rPr>
              <w:t>263.846,24</w:t>
            </w:r>
          </w:p>
        </w:tc>
        <w:tc>
          <w:tcPr>
            <w:tcW w:w="1702" w:type="dxa"/>
          </w:tcPr>
          <w:p>
            <w:pPr>
              <w:pStyle w:val="TableParagraph"/>
              <w:spacing w:line="164" w:lineRule="exact" w:before="0"/>
              <w:ind w:right="95"/>
              <w:rPr>
                <w:rFonts w:ascii="Times New Roman"/>
                <w:sz w:val="16"/>
              </w:rPr>
            </w:pPr>
            <w:r>
              <w:rPr>
                <w:rFonts w:ascii="Times New Roman"/>
                <w:sz w:val="16"/>
              </w:rPr>
              <w:t>1.219.000,00</w:t>
            </w:r>
          </w:p>
        </w:tc>
        <w:tc>
          <w:tcPr>
            <w:tcW w:w="1700" w:type="dxa"/>
          </w:tcPr>
          <w:p>
            <w:pPr>
              <w:pStyle w:val="TableParagraph"/>
              <w:spacing w:line="164" w:lineRule="exact" w:before="0"/>
              <w:ind w:right="91"/>
              <w:rPr>
                <w:rFonts w:ascii="Times New Roman"/>
                <w:sz w:val="16"/>
              </w:rPr>
            </w:pPr>
            <w:r>
              <w:rPr>
                <w:rFonts w:ascii="Times New Roman"/>
                <w:sz w:val="16"/>
              </w:rPr>
              <w:t>583.692,35</w:t>
            </w:r>
          </w:p>
        </w:tc>
      </w:tr>
      <w:tr>
        <w:trPr>
          <w:trHeight w:val="184" w:hRule="atLeast"/>
        </w:trPr>
        <w:tc>
          <w:tcPr>
            <w:tcW w:w="960" w:type="dxa"/>
            <w:shd w:val="clear" w:color="auto" w:fill="FFFFCC"/>
          </w:tcPr>
          <w:p>
            <w:pPr>
              <w:pStyle w:val="TableParagraph"/>
              <w:spacing w:line="164" w:lineRule="exact" w:before="0"/>
              <w:ind w:left="378" w:right="371"/>
              <w:jc w:val="center"/>
              <w:rPr>
                <w:rFonts w:ascii="Times New Roman"/>
                <w:sz w:val="16"/>
              </w:rPr>
            </w:pPr>
            <w:r>
              <w:rPr>
                <w:rFonts w:ascii="Times New Roman"/>
                <w:sz w:val="16"/>
              </w:rPr>
              <w:t>41</w:t>
            </w:r>
          </w:p>
        </w:tc>
        <w:tc>
          <w:tcPr>
            <w:tcW w:w="4284" w:type="dxa"/>
          </w:tcPr>
          <w:p>
            <w:pPr>
              <w:pStyle w:val="TableParagraph"/>
              <w:spacing w:line="164" w:lineRule="exact" w:before="0"/>
              <w:ind w:left="107"/>
              <w:jc w:val="left"/>
              <w:rPr>
                <w:rFonts w:ascii="Times New Roman"/>
                <w:sz w:val="16"/>
              </w:rPr>
            </w:pPr>
            <w:r>
              <w:rPr>
                <w:rFonts w:ascii="Times New Roman"/>
                <w:sz w:val="16"/>
              </w:rPr>
              <w:t>Rashodi za nabavu neproizvodne imovine</w:t>
            </w:r>
          </w:p>
        </w:tc>
        <w:tc>
          <w:tcPr>
            <w:tcW w:w="1702" w:type="dxa"/>
          </w:tcPr>
          <w:p>
            <w:pPr>
              <w:pStyle w:val="TableParagraph"/>
              <w:spacing w:line="164" w:lineRule="exact" w:before="0"/>
              <w:ind w:right="94"/>
              <w:rPr>
                <w:rFonts w:ascii="Times New Roman"/>
                <w:sz w:val="16"/>
              </w:rPr>
            </w:pPr>
            <w:r>
              <w:rPr>
                <w:rFonts w:ascii="Times New Roman"/>
                <w:sz w:val="16"/>
              </w:rPr>
              <w:t>0,00</w:t>
            </w:r>
          </w:p>
        </w:tc>
        <w:tc>
          <w:tcPr>
            <w:tcW w:w="1702" w:type="dxa"/>
          </w:tcPr>
          <w:p>
            <w:pPr>
              <w:pStyle w:val="TableParagraph"/>
              <w:spacing w:line="164" w:lineRule="exact" w:before="0"/>
              <w:ind w:right="93"/>
              <w:rPr>
                <w:rFonts w:ascii="Times New Roman"/>
                <w:sz w:val="16"/>
              </w:rPr>
            </w:pPr>
            <w:r>
              <w:rPr>
                <w:rFonts w:ascii="Times New Roman"/>
                <w:sz w:val="16"/>
              </w:rPr>
              <w:t>384.000,00</w:t>
            </w:r>
          </w:p>
        </w:tc>
        <w:tc>
          <w:tcPr>
            <w:tcW w:w="1700" w:type="dxa"/>
          </w:tcPr>
          <w:p>
            <w:pPr>
              <w:pStyle w:val="TableParagraph"/>
              <w:spacing w:line="164" w:lineRule="exact" w:before="0"/>
              <w:ind w:right="91"/>
              <w:rPr>
                <w:rFonts w:ascii="Times New Roman"/>
                <w:sz w:val="16"/>
              </w:rPr>
            </w:pPr>
            <w:r>
              <w:rPr>
                <w:rFonts w:ascii="Times New Roman"/>
                <w:sz w:val="16"/>
              </w:rPr>
              <w:t>233.174,00</w:t>
            </w:r>
          </w:p>
        </w:tc>
      </w:tr>
      <w:tr>
        <w:trPr>
          <w:trHeight w:val="181" w:hRule="atLeast"/>
        </w:trPr>
        <w:tc>
          <w:tcPr>
            <w:tcW w:w="960" w:type="dxa"/>
            <w:shd w:val="clear" w:color="auto" w:fill="FFFFCC"/>
          </w:tcPr>
          <w:p>
            <w:pPr>
              <w:pStyle w:val="TableParagraph"/>
              <w:spacing w:line="162" w:lineRule="exact" w:before="0"/>
              <w:ind w:left="378" w:right="371"/>
              <w:jc w:val="center"/>
              <w:rPr>
                <w:rFonts w:ascii="Times New Roman"/>
                <w:sz w:val="16"/>
              </w:rPr>
            </w:pPr>
            <w:r>
              <w:rPr>
                <w:rFonts w:ascii="Times New Roman"/>
                <w:sz w:val="16"/>
              </w:rPr>
              <w:t>42</w:t>
            </w:r>
          </w:p>
        </w:tc>
        <w:tc>
          <w:tcPr>
            <w:tcW w:w="4284" w:type="dxa"/>
          </w:tcPr>
          <w:p>
            <w:pPr>
              <w:pStyle w:val="TableParagraph"/>
              <w:spacing w:line="162" w:lineRule="exact" w:before="0"/>
              <w:ind w:left="107"/>
              <w:jc w:val="left"/>
              <w:rPr>
                <w:rFonts w:ascii="Times New Roman"/>
                <w:sz w:val="16"/>
              </w:rPr>
            </w:pPr>
            <w:r>
              <w:rPr>
                <w:rFonts w:ascii="Times New Roman"/>
                <w:sz w:val="16"/>
              </w:rPr>
              <w:t>Rashodi za nabavu proizvedene imovine</w:t>
            </w:r>
          </w:p>
        </w:tc>
        <w:tc>
          <w:tcPr>
            <w:tcW w:w="1702" w:type="dxa"/>
          </w:tcPr>
          <w:p>
            <w:pPr>
              <w:pStyle w:val="TableParagraph"/>
              <w:spacing w:line="162" w:lineRule="exact" w:before="0"/>
              <w:ind w:right="95"/>
              <w:rPr>
                <w:rFonts w:ascii="Times New Roman"/>
                <w:sz w:val="16"/>
              </w:rPr>
            </w:pPr>
            <w:r>
              <w:rPr>
                <w:rFonts w:ascii="Times New Roman"/>
                <w:sz w:val="16"/>
              </w:rPr>
              <w:t>907.068,07</w:t>
            </w:r>
          </w:p>
        </w:tc>
        <w:tc>
          <w:tcPr>
            <w:tcW w:w="1702" w:type="dxa"/>
          </w:tcPr>
          <w:p>
            <w:pPr>
              <w:pStyle w:val="TableParagraph"/>
              <w:spacing w:line="162" w:lineRule="exact" w:before="0"/>
              <w:ind w:right="95"/>
              <w:rPr>
                <w:rFonts w:ascii="Times New Roman"/>
                <w:sz w:val="16"/>
              </w:rPr>
            </w:pPr>
            <w:r>
              <w:rPr>
                <w:rFonts w:ascii="Times New Roman"/>
                <w:sz w:val="16"/>
              </w:rPr>
              <w:t>7.531.000,00</w:t>
            </w:r>
          </w:p>
        </w:tc>
        <w:tc>
          <w:tcPr>
            <w:tcW w:w="1700" w:type="dxa"/>
          </w:tcPr>
          <w:p>
            <w:pPr>
              <w:pStyle w:val="TableParagraph"/>
              <w:spacing w:line="162" w:lineRule="exact" w:before="0"/>
              <w:ind w:right="91"/>
              <w:rPr>
                <w:rFonts w:ascii="Times New Roman"/>
                <w:sz w:val="16"/>
              </w:rPr>
            </w:pPr>
            <w:r>
              <w:rPr>
                <w:rFonts w:ascii="Times New Roman"/>
                <w:sz w:val="16"/>
              </w:rPr>
              <w:t>698.677,69</w:t>
            </w:r>
          </w:p>
        </w:tc>
      </w:tr>
      <w:tr>
        <w:trPr>
          <w:trHeight w:val="184" w:hRule="atLeast"/>
        </w:trPr>
        <w:tc>
          <w:tcPr>
            <w:tcW w:w="960" w:type="dxa"/>
            <w:shd w:val="clear" w:color="auto" w:fill="FFFFCC"/>
          </w:tcPr>
          <w:p>
            <w:pPr>
              <w:pStyle w:val="TableParagraph"/>
              <w:spacing w:line="164" w:lineRule="exact" w:before="0"/>
              <w:ind w:left="378" w:right="370"/>
              <w:jc w:val="center"/>
              <w:rPr>
                <w:rFonts w:ascii="Times New Roman"/>
                <w:sz w:val="16"/>
              </w:rPr>
            </w:pPr>
            <w:r>
              <w:rPr>
                <w:rFonts w:ascii="Times New Roman"/>
                <w:sz w:val="16"/>
              </w:rPr>
              <w:t>54</w:t>
            </w:r>
          </w:p>
        </w:tc>
        <w:tc>
          <w:tcPr>
            <w:tcW w:w="4284" w:type="dxa"/>
          </w:tcPr>
          <w:p>
            <w:pPr>
              <w:pStyle w:val="TableParagraph"/>
              <w:spacing w:line="164" w:lineRule="exact" w:before="0"/>
              <w:ind w:left="107"/>
              <w:jc w:val="left"/>
              <w:rPr>
                <w:rFonts w:ascii="Times New Roman"/>
                <w:sz w:val="16"/>
              </w:rPr>
            </w:pPr>
            <w:r>
              <w:rPr>
                <w:rFonts w:ascii="Times New Roman"/>
                <w:sz w:val="16"/>
              </w:rPr>
              <w:t>Izdaci za otplatu glavnice primljenih zajmova</w:t>
            </w:r>
          </w:p>
        </w:tc>
        <w:tc>
          <w:tcPr>
            <w:tcW w:w="1702" w:type="dxa"/>
          </w:tcPr>
          <w:p>
            <w:pPr>
              <w:pStyle w:val="TableParagraph"/>
              <w:spacing w:line="164" w:lineRule="exact" w:before="0"/>
              <w:ind w:right="94"/>
              <w:rPr>
                <w:rFonts w:ascii="Times New Roman"/>
                <w:sz w:val="16"/>
              </w:rPr>
            </w:pPr>
            <w:r>
              <w:rPr>
                <w:rFonts w:ascii="Times New Roman"/>
                <w:sz w:val="16"/>
              </w:rPr>
              <w:t>33.559,19</w:t>
            </w:r>
          </w:p>
        </w:tc>
        <w:tc>
          <w:tcPr>
            <w:tcW w:w="1702" w:type="dxa"/>
          </w:tcPr>
          <w:p>
            <w:pPr>
              <w:pStyle w:val="TableParagraph"/>
              <w:spacing w:line="164" w:lineRule="exact" w:before="0"/>
              <w:ind w:right="95"/>
              <w:rPr>
                <w:rFonts w:ascii="Times New Roman"/>
                <w:sz w:val="16"/>
              </w:rPr>
            </w:pPr>
            <w:r>
              <w:rPr>
                <w:rFonts w:ascii="Times New Roman"/>
                <w:sz w:val="16"/>
              </w:rPr>
              <w:t>0,00</w:t>
            </w:r>
          </w:p>
        </w:tc>
        <w:tc>
          <w:tcPr>
            <w:tcW w:w="1700" w:type="dxa"/>
          </w:tcPr>
          <w:p>
            <w:pPr>
              <w:pStyle w:val="TableParagraph"/>
              <w:spacing w:line="164" w:lineRule="exact" w:before="0"/>
              <w:ind w:right="93"/>
              <w:rPr>
                <w:rFonts w:ascii="Times New Roman"/>
                <w:sz w:val="16"/>
              </w:rPr>
            </w:pPr>
            <w:r>
              <w:rPr>
                <w:rFonts w:ascii="Times New Roman"/>
                <w:sz w:val="16"/>
              </w:rPr>
              <w:t>0,00</w:t>
            </w:r>
          </w:p>
        </w:tc>
      </w:tr>
      <w:tr>
        <w:trPr>
          <w:trHeight w:val="184" w:hRule="atLeast"/>
        </w:trPr>
        <w:tc>
          <w:tcPr>
            <w:tcW w:w="960" w:type="dxa"/>
            <w:shd w:val="clear" w:color="auto" w:fill="FFFFCC"/>
          </w:tcPr>
          <w:p>
            <w:pPr>
              <w:pStyle w:val="TableParagraph"/>
              <w:spacing w:before="0"/>
              <w:jc w:val="left"/>
              <w:rPr>
                <w:rFonts w:ascii="Times New Roman"/>
                <w:sz w:val="12"/>
              </w:rPr>
            </w:pPr>
          </w:p>
        </w:tc>
        <w:tc>
          <w:tcPr>
            <w:tcW w:w="4284" w:type="dxa"/>
          </w:tcPr>
          <w:p>
            <w:pPr>
              <w:pStyle w:val="TableParagraph"/>
              <w:spacing w:line="164" w:lineRule="exact" w:before="0"/>
              <w:ind w:left="107"/>
              <w:jc w:val="left"/>
              <w:rPr>
                <w:rFonts w:ascii="Times New Roman"/>
                <w:b/>
                <w:sz w:val="16"/>
              </w:rPr>
            </w:pPr>
            <w:r>
              <w:rPr>
                <w:rFonts w:ascii="Times New Roman"/>
                <w:b/>
                <w:sz w:val="16"/>
              </w:rPr>
              <w:t>UKUPNO:</w:t>
            </w:r>
          </w:p>
        </w:tc>
        <w:tc>
          <w:tcPr>
            <w:tcW w:w="1702" w:type="dxa"/>
          </w:tcPr>
          <w:p>
            <w:pPr>
              <w:pStyle w:val="TableParagraph"/>
              <w:spacing w:line="164" w:lineRule="exact" w:before="0"/>
              <w:ind w:right="95"/>
              <w:rPr>
                <w:rFonts w:ascii="Times New Roman"/>
                <w:sz w:val="16"/>
              </w:rPr>
            </w:pPr>
            <w:r>
              <w:rPr>
                <w:rFonts w:ascii="Times New Roman"/>
                <w:sz w:val="16"/>
              </w:rPr>
              <w:t>6.564.970,31</w:t>
            </w:r>
          </w:p>
        </w:tc>
        <w:tc>
          <w:tcPr>
            <w:tcW w:w="1702" w:type="dxa"/>
          </w:tcPr>
          <w:p>
            <w:pPr>
              <w:pStyle w:val="TableParagraph"/>
              <w:spacing w:line="164" w:lineRule="exact" w:before="0"/>
              <w:ind w:right="94"/>
              <w:rPr>
                <w:rFonts w:ascii="Times New Roman"/>
                <w:sz w:val="16"/>
              </w:rPr>
            </w:pPr>
            <w:r>
              <w:rPr>
                <w:rFonts w:ascii="Times New Roman"/>
                <w:sz w:val="16"/>
              </w:rPr>
              <w:t>20.418.660,87</w:t>
            </w:r>
          </w:p>
        </w:tc>
        <w:tc>
          <w:tcPr>
            <w:tcW w:w="1700" w:type="dxa"/>
          </w:tcPr>
          <w:p>
            <w:pPr>
              <w:pStyle w:val="TableParagraph"/>
              <w:spacing w:line="164" w:lineRule="exact" w:before="0"/>
              <w:ind w:right="93"/>
              <w:rPr>
                <w:rFonts w:ascii="Times New Roman"/>
                <w:sz w:val="16"/>
              </w:rPr>
            </w:pPr>
            <w:r>
              <w:rPr>
                <w:rFonts w:ascii="Times New Roman"/>
                <w:sz w:val="16"/>
              </w:rPr>
              <w:t>6.305.627,45</w:t>
            </w:r>
          </w:p>
        </w:tc>
      </w:tr>
    </w:tbl>
    <w:p>
      <w:pPr>
        <w:pStyle w:val="BodyText"/>
        <w:rPr>
          <w:sz w:val="26"/>
        </w:rPr>
      </w:pPr>
    </w:p>
    <w:p>
      <w:pPr>
        <w:pStyle w:val="BodyText"/>
        <w:spacing w:before="8"/>
        <w:rPr>
          <w:sz w:val="21"/>
        </w:rPr>
      </w:pPr>
    </w:p>
    <w:p>
      <w:pPr>
        <w:pStyle w:val="Heading1"/>
        <w:numPr>
          <w:ilvl w:val="0"/>
          <w:numId w:val="2"/>
        </w:numPr>
        <w:tabs>
          <w:tab w:pos="1964" w:val="left" w:leader="none"/>
          <w:tab w:pos="4300" w:val="left" w:leader="none"/>
          <w:tab w:pos="6286" w:val="left" w:leader="none"/>
          <w:tab w:pos="7848" w:val="left" w:leader="none"/>
          <w:tab w:pos="8302" w:val="left" w:leader="none"/>
          <w:tab w:pos="9958" w:val="left" w:leader="none"/>
        </w:tabs>
        <w:spacing w:line="240" w:lineRule="auto" w:before="0" w:after="0"/>
        <w:ind w:left="1976" w:right="888" w:hanging="360"/>
        <w:jc w:val="left"/>
      </w:pPr>
      <w:r>
        <w:rPr/>
        <w:t>OBRAZLOŽENJE</w:t>
        <w:tab/>
        <w:t>OSTVARENJA</w:t>
        <w:tab/>
        <w:t>RASHODA</w:t>
        <w:tab/>
        <w:t>I</w:t>
        <w:tab/>
        <w:t>IZDATAKA</w:t>
        <w:tab/>
      </w:r>
      <w:r>
        <w:rPr>
          <w:spacing w:val="-5"/>
        </w:rPr>
        <w:t>PREMA </w:t>
      </w:r>
      <w:r>
        <w:rPr/>
        <w:t>ORGANIZACIJSKOJ I PROGRAMSKOJ</w:t>
      </w:r>
      <w:r>
        <w:rPr>
          <w:spacing w:val="-1"/>
        </w:rPr>
        <w:t> </w:t>
      </w:r>
      <w:r>
        <w:rPr/>
        <w:t>KLASIFIKACIJI</w:t>
      </w:r>
    </w:p>
    <w:p>
      <w:pPr>
        <w:pStyle w:val="BodyText"/>
        <w:rPr>
          <w:b/>
        </w:rPr>
      </w:pPr>
    </w:p>
    <w:p>
      <w:pPr>
        <w:pStyle w:val="ListParagraph"/>
        <w:numPr>
          <w:ilvl w:val="0"/>
          <w:numId w:val="4"/>
        </w:numPr>
        <w:tabs>
          <w:tab w:pos="1936" w:val="left" w:leader="none"/>
        </w:tabs>
        <w:spacing w:line="240" w:lineRule="auto" w:before="0" w:after="0"/>
        <w:ind w:left="1935" w:right="0" w:hanging="320"/>
        <w:jc w:val="left"/>
        <w:rPr>
          <w:b/>
          <w:sz w:val="24"/>
        </w:rPr>
      </w:pPr>
      <w:r>
        <w:rPr>
          <w:b/>
          <w:sz w:val="24"/>
        </w:rPr>
        <w:t>Izvješće o izvršenim</w:t>
      </w:r>
      <w:r>
        <w:rPr>
          <w:b/>
          <w:spacing w:val="-5"/>
          <w:sz w:val="24"/>
        </w:rPr>
        <w:t> </w:t>
      </w:r>
      <w:r>
        <w:rPr>
          <w:b/>
          <w:sz w:val="24"/>
        </w:rPr>
        <w:t>preraspodjelama</w:t>
      </w:r>
    </w:p>
    <w:p>
      <w:pPr>
        <w:pStyle w:val="BodyText"/>
        <w:spacing w:before="7"/>
        <w:rPr>
          <w:b/>
          <w:sz w:val="23"/>
        </w:rPr>
      </w:pPr>
    </w:p>
    <w:p>
      <w:pPr>
        <w:pStyle w:val="BodyText"/>
        <w:ind w:left="1256" w:right="886" w:firstLine="720"/>
        <w:jc w:val="both"/>
      </w:pPr>
      <w:r>
        <w:rPr/>
        <w:t>U skladu sa člankom 46. Zakona o proračunu, te člankom 9. stavak 4. Odluke o izvršenju proračuna Grada Ozlja, Gradonačelnica Grada Ozlja je dana 21. svibnja 2014. godine donijela Odluku o preraspodjeli sredstava u Proračunu Grada Ozlja za 2014. godinu.</w:t>
      </w:r>
    </w:p>
    <w:p>
      <w:pPr>
        <w:pStyle w:val="BodyText"/>
        <w:ind w:left="1256" w:right="1395" w:firstLine="708"/>
        <w:jc w:val="both"/>
      </w:pPr>
      <w:r>
        <w:rPr/>
        <w:t>Odlukom je izvršena preraspodjela sredstava na stavkama unutar razdjela 001: Gradsko vijeće, Ured gradonačelnice, te Razdjela 003: Upravni odjel za financije i gospodarstvo kako</w:t>
      </w:r>
      <w:r>
        <w:rPr>
          <w:spacing w:val="-1"/>
        </w:rPr>
        <w:t> </w:t>
      </w:r>
      <w:r>
        <w:rPr/>
        <w:t>slijedi:</w:t>
      </w:r>
    </w:p>
    <w:p>
      <w:pPr>
        <w:pStyle w:val="BodyText"/>
        <w:spacing w:before="8"/>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3970"/>
        <w:gridCol w:w="1481"/>
        <w:gridCol w:w="1560"/>
        <w:gridCol w:w="1536"/>
        <w:gridCol w:w="1622"/>
      </w:tblGrid>
      <w:tr>
        <w:trPr>
          <w:trHeight w:val="253" w:hRule="atLeast"/>
        </w:trPr>
        <w:tc>
          <w:tcPr>
            <w:tcW w:w="1277" w:type="dxa"/>
            <w:shd w:val="clear" w:color="auto" w:fill="E5DFEC"/>
          </w:tcPr>
          <w:p>
            <w:pPr>
              <w:pStyle w:val="TableParagraph"/>
              <w:spacing w:line="234" w:lineRule="exact" w:before="0"/>
              <w:ind w:left="110"/>
              <w:jc w:val="left"/>
              <w:rPr>
                <w:rFonts w:ascii="Times New Roman" w:hAnsi="Times New Roman"/>
                <w:sz w:val="22"/>
              </w:rPr>
            </w:pPr>
            <w:r>
              <w:rPr>
                <w:rFonts w:ascii="Times New Roman" w:hAnsi="Times New Roman"/>
                <w:sz w:val="22"/>
              </w:rPr>
              <w:t>ŠIFRA</w:t>
            </w:r>
          </w:p>
        </w:tc>
        <w:tc>
          <w:tcPr>
            <w:tcW w:w="3970" w:type="dxa"/>
            <w:shd w:val="clear" w:color="auto" w:fill="E5DFEC"/>
          </w:tcPr>
          <w:p>
            <w:pPr>
              <w:pStyle w:val="TableParagraph"/>
              <w:spacing w:line="234" w:lineRule="exact" w:before="0"/>
              <w:ind w:left="109"/>
              <w:jc w:val="left"/>
              <w:rPr>
                <w:rFonts w:ascii="Times New Roman"/>
                <w:sz w:val="22"/>
              </w:rPr>
            </w:pPr>
            <w:r>
              <w:rPr>
                <w:rFonts w:ascii="Times New Roman"/>
                <w:sz w:val="22"/>
              </w:rPr>
              <w:t>NAZIV</w:t>
            </w:r>
          </w:p>
        </w:tc>
        <w:tc>
          <w:tcPr>
            <w:tcW w:w="1481" w:type="dxa"/>
            <w:shd w:val="clear" w:color="auto" w:fill="E5DFEC"/>
          </w:tcPr>
          <w:p>
            <w:pPr>
              <w:pStyle w:val="TableParagraph"/>
              <w:spacing w:line="234" w:lineRule="exact" w:before="0"/>
              <w:ind w:left="107"/>
              <w:jc w:val="left"/>
              <w:rPr>
                <w:rFonts w:ascii="Times New Roman"/>
                <w:sz w:val="22"/>
              </w:rPr>
            </w:pPr>
            <w:r>
              <w:rPr>
                <w:rFonts w:ascii="Times New Roman"/>
                <w:sz w:val="22"/>
              </w:rPr>
              <w:t>PLAN 2014</w:t>
            </w:r>
          </w:p>
        </w:tc>
        <w:tc>
          <w:tcPr>
            <w:tcW w:w="1560" w:type="dxa"/>
            <w:shd w:val="clear" w:color="auto" w:fill="E5DFEC"/>
          </w:tcPr>
          <w:p>
            <w:pPr>
              <w:pStyle w:val="TableParagraph"/>
              <w:spacing w:line="234" w:lineRule="exact" w:before="0"/>
              <w:ind w:left="106"/>
              <w:jc w:val="left"/>
              <w:rPr>
                <w:rFonts w:ascii="Times New Roman" w:hAnsi="Times New Roman"/>
                <w:sz w:val="22"/>
              </w:rPr>
            </w:pPr>
            <w:r>
              <w:rPr>
                <w:rFonts w:ascii="Times New Roman" w:hAnsi="Times New Roman"/>
                <w:sz w:val="22"/>
              </w:rPr>
              <w:t>POVEĆANJE</w:t>
            </w:r>
          </w:p>
        </w:tc>
        <w:tc>
          <w:tcPr>
            <w:tcW w:w="1536" w:type="dxa"/>
            <w:shd w:val="clear" w:color="auto" w:fill="E5DFEC"/>
          </w:tcPr>
          <w:p>
            <w:pPr>
              <w:pStyle w:val="TableParagraph"/>
              <w:spacing w:line="234" w:lineRule="exact" w:before="0"/>
              <w:ind w:left="106"/>
              <w:jc w:val="left"/>
              <w:rPr>
                <w:rFonts w:ascii="Times New Roman"/>
                <w:sz w:val="22"/>
              </w:rPr>
            </w:pPr>
            <w:r>
              <w:rPr>
                <w:rFonts w:ascii="Times New Roman"/>
                <w:sz w:val="22"/>
              </w:rPr>
              <w:t>SMANJENJE</w:t>
            </w:r>
          </w:p>
        </w:tc>
        <w:tc>
          <w:tcPr>
            <w:tcW w:w="1622" w:type="dxa"/>
            <w:shd w:val="clear" w:color="auto" w:fill="E5DFEC"/>
          </w:tcPr>
          <w:p>
            <w:pPr>
              <w:pStyle w:val="TableParagraph"/>
              <w:spacing w:line="234" w:lineRule="exact" w:before="0"/>
              <w:ind w:left="109"/>
              <w:jc w:val="left"/>
              <w:rPr>
                <w:rFonts w:ascii="Times New Roman"/>
                <w:sz w:val="22"/>
              </w:rPr>
            </w:pPr>
            <w:r>
              <w:rPr>
                <w:rFonts w:ascii="Times New Roman"/>
                <w:sz w:val="22"/>
              </w:rPr>
              <w:t>NOVI PLAN</w:t>
            </w:r>
          </w:p>
        </w:tc>
      </w:tr>
      <w:tr>
        <w:trPr>
          <w:trHeight w:val="518" w:hRule="atLeast"/>
        </w:trPr>
        <w:tc>
          <w:tcPr>
            <w:tcW w:w="1277" w:type="dxa"/>
          </w:tcPr>
          <w:p>
            <w:pPr>
              <w:pStyle w:val="TableParagraph"/>
              <w:spacing w:before="0"/>
              <w:jc w:val="left"/>
              <w:rPr>
                <w:rFonts w:ascii="Times New Roman"/>
                <w:sz w:val="20"/>
              </w:rPr>
            </w:pPr>
          </w:p>
        </w:tc>
        <w:tc>
          <w:tcPr>
            <w:tcW w:w="3970" w:type="dxa"/>
          </w:tcPr>
          <w:p>
            <w:pPr>
              <w:pStyle w:val="TableParagraph"/>
              <w:spacing w:line="247" w:lineRule="exact" w:before="0"/>
              <w:ind w:left="109"/>
              <w:jc w:val="left"/>
              <w:rPr>
                <w:rFonts w:ascii="Times New Roman"/>
                <w:sz w:val="22"/>
              </w:rPr>
            </w:pPr>
            <w:r>
              <w:rPr>
                <w:rFonts w:ascii="Times New Roman"/>
                <w:sz w:val="22"/>
              </w:rPr>
              <w:t>UKUPNO:</w:t>
            </w:r>
          </w:p>
        </w:tc>
        <w:tc>
          <w:tcPr>
            <w:tcW w:w="1481" w:type="dxa"/>
          </w:tcPr>
          <w:p>
            <w:pPr>
              <w:pStyle w:val="TableParagraph"/>
              <w:spacing w:line="247" w:lineRule="exact" w:before="0"/>
              <w:ind w:left="217"/>
              <w:jc w:val="left"/>
              <w:rPr>
                <w:rFonts w:ascii="Times New Roman"/>
                <w:sz w:val="22"/>
              </w:rPr>
            </w:pPr>
            <w:r>
              <w:rPr>
                <w:rFonts w:ascii="Times New Roman"/>
                <w:sz w:val="22"/>
              </w:rPr>
              <w:t>2.624.707,91</w:t>
            </w:r>
          </w:p>
        </w:tc>
        <w:tc>
          <w:tcPr>
            <w:tcW w:w="1560" w:type="dxa"/>
          </w:tcPr>
          <w:p>
            <w:pPr>
              <w:pStyle w:val="TableParagraph"/>
              <w:spacing w:line="247" w:lineRule="exact" w:before="0"/>
              <w:ind w:left="570"/>
              <w:jc w:val="left"/>
              <w:rPr>
                <w:rFonts w:ascii="Times New Roman"/>
                <w:sz w:val="22"/>
              </w:rPr>
            </w:pPr>
            <w:r>
              <w:rPr>
                <w:rFonts w:ascii="Times New Roman"/>
                <w:sz w:val="22"/>
              </w:rPr>
              <w:t>55.000,00</w:t>
            </w:r>
          </w:p>
        </w:tc>
        <w:tc>
          <w:tcPr>
            <w:tcW w:w="1536" w:type="dxa"/>
          </w:tcPr>
          <w:p>
            <w:pPr>
              <w:pStyle w:val="TableParagraph"/>
              <w:spacing w:line="247" w:lineRule="exact" w:before="0"/>
              <w:ind w:left="474"/>
              <w:jc w:val="left"/>
              <w:rPr>
                <w:rFonts w:ascii="Times New Roman"/>
                <w:sz w:val="22"/>
              </w:rPr>
            </w:pPr>
            <w:r>
              <w:rPr>
                <w:rFonts w:ascii="Times New Roman"/>
                <w:sz w:val="22"/>
              </w:rPr>
              <w:t>-55.000,00</w:t>
            </w:r>
          </w:p>
        </w:tc>
        <w:tc>
          <w:tcPr>
            <w:tcW w:w="1622" w:type="dxa"/>
          </w:tcPr>
          <w:p>
            <w:pPr>
              <w:pStyle w:val="TableParagraph"/>
              <w:spacing w:line="247" w:lineRule="exact" w:before="0"/>
              <w:ind w:left="358"/>
              <w:jc w:val="left"/>
              <w:rPr>
                <w:rFonts w:ascii="Times New Roman"/>
                <w:sz w:val="22"/>
              </w:rPr>
            </w:pPr>
            <w:r>
              <w:rPr>
                <w:rFonts w:ascii="Times New Roman"/>
                <w:sz w:val="22"/>
              </w:rPr>
              <w:t>1.654.707,91</w:t>
            </w:r>
          </w:p>
        </w:tc>
      </w:tr>
    </w:tbl>
    <w:p>
      <w:pPr>
        <w:spacing w:after="0" w:line="247" w:lineRule="exact"/>
        <w:jc w:val="left"/>
        <w:rPr>
          <w:rFonts w:ascii="Times New Roman"/>
          <w:sz w:val="22"/>
        </w:rPr>
        <w:sectPr>
          <w:pgSz w:w="11910" w:h="16840"/>
          <w:pgMar w:header="0" w:footer="769" w:top="900" w:bottom="980" w:left="160" w:right="20"/>
        </w:sect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3970"/>
        <w:gridCol w:w="1481"/>
        <w:gridCol w:w="1560"/>
        <w:gridCol w:w="1536"/>
        <w:gridCol w:w="1622"/>
      </w:tblGrid>
      <w:tr>
        <w:trPr>
          <w:trHeight w:val="506" w:hRule="atLeast"/>
        </w:trPr>
        <w:tc>
          <w:tcPr>
            <w:tcW w:w="1277" w:type="dxa"/>
            <w:shd w:val="clear" w:color="auto" w:fill="F2F2F2"/>
          </w:tcPr>
          <w:p>
            <w:pPr>
              <w:pStyle w:val="TableParagraph"/>
              <w:spacing w:line="247" w:lineRule="exact" w:before="0"/>
              <w:ind w:left="110"/>
              <w:jc w:val="left"/>
              <w:rPr>
                <w:rFonts w:ascii="Times New Roman"/>
                <w:b/>
                <w:sz w:val="22"/>
              </w:rPr>
            </w:pPr>
            <w:r>
              <w:rPr>
                <w:rFonts w:ascii="Times New Roman"/>
                <w:b/>
                <w:sz w:val="22"/>
              </w:rPr>
              <w:t>Razdjel</w:t>
            </w:r>
          </w:p>
          <w:p>
            <w:pPr>
              <w:pStyle w:val="TableParagraph"/>
              <w:spacing w:line="239" w:lineRule="exact" w:before="0"/>
              <w:ind w:left="110"/>
              <w:jc w:val="left"/>
              <w:rPr>
                <w:rFonts w:ascii="Times New Roman"/>
                <w:b/>
                <w:sz w:val="22"/>
              </w:rPr>
            </w:pPr>
            <w:r>
              <w:rPr>
                <w:rFonts w:ascii="Times New Roman"/>
                <w:b/>
                <w:sz w:val="22"/>
              </w:rPr>
              <w:t>001</w:t>
            </w:r>
          </w:p>
        </w:tc>
        <w:tc>
          <w:tcPr>
            <w:tcW w:w="3970" w:type="dxa"/>
            <w:shd w:val="clear" w:color="auto" w:fill="F2F2F2"/>
          </w:tcPr>
          <w:p>
            <w:pPr>
              <w:pStyle w:val="TableParagraph"/>
              <w:spacing w:line="247" w:lineRule="exact" w:before="0"/>
              <w:ind w:left="109"/>
              <w:jc w:val="left"/>
              <w:rPr>
                <w:rFonts w:ascii="Times New Roman" w:hAnsi="Times New Roman"/>
                <w:b/>
                <w:sz w:val="22"/>
              </w:rPr>
            </w:pPr>
            <w:r>
              <w:rPr>
                <w:rFonts w:ascii="Times New Roman" w:hAnsi="Times New Roman"/>
                <w:b/>
                <w:sz w:val="22"/>
              </w:rPr>
              <w:t>GRADSKO VIJEĆE, URED</w:t>
            </w:r>
          </w:p>
          <w:p>
            <w:pPr>
              <w:pStyle w:val="TableParagraph"/>
              <w:spacing w:line="239" w:lineRule="exact" w:before="0"/>
              <w:ind w:left="109"/>
              <w:jc w:val="left"/>
              <w:rPr>
                <w:rFonts w:ascii="Times New Roman" w:hAnsi="Times New Roman"/>
                <w:b/>
                <w:sz w:val="22"/>
              </w:rPr>
            </w:pPr>
            <w:r>
              <w:rPr>
                <w:rFonts w:ascii="Times New Roman" w:hAnsi="Times New Roman"/>
                <w:b/>
                <w:sz w:val="22"/>
              </w:rPr>
              <w:t>GRADONAČELNIKA</w:t>
            </w:r>
          </w:p>
        </w:tc>
        <w:tc>
          <w:tcPr>
            <w:tcW w:w="1481" w:type="dxa"/>
            <w:shd w:val="clear" w:color="auto" w:fill="F2F2F2"/>
          </w:tcPr>
          <w:p>
            <w:pPr>
              <w:pStyle w:val="TableParagraph"/>
              <w:spacing w:line="247" w:lineRule="exact" w:before="0"/>
              <w:ind w:right="94"/>
              <w:rPr>
                <w:rFonts w:ascii="Times New Roman"/>
                <w:b/>
                <w:sz w:val="22"/>
              </w:rPr>
            </w:pPr>
            <w:r>
              <w:rPr>
                <w:rFonts w:ascii="Times New Roman"/>
                <w:b/>
                <w:sz w:val="22"/>
              </w:rPr>
              <w:t>85.000,00</w:t>
            </w:r>
          </w:p>
        </w:tc>
        <w:tc>
          <w:tcPr>
            <w:tcW w:w="1560" w:type="dxa"/>
            <w:shd w:val="clear" w:color="auto" w:fill="F2F2F2"/>
          </w:tcPr>
          <w:p>
            <w:pPr>
              <w:pStyle w:val="TableParagraph"/>
              <w:spacing w:line="247" w:lineRule="exact" w:before="0"/>
              <w:ind w:right="94"/>
              <w:rPr>
                <w:rFonts w:ascii="Times New Roman"/>
                <w:b/>
                <w:sz w:val="22"/>
              </w:rPr>
            </w:pPr>
            <w:r>
              <w:rPr>
                <w:rFonts w:ascii="Times New Roman"/>
                <w:b/>
                <w:sz w:val="22"/>
              </w:rPr>
              <w:t>55.000,00</w:t>
            </w:r>
          </w:p>
        </w:tc>
        <w:tc>
          <w:tcPr>
            <w:tcW w:w="1536" w:type="dxa"/>
            <w:shd w:val="clear" w:color="auto" w:fill="F2F2F2"/>
          </w:tcPr>
          <w:p>
            <w:pPr>
              <w:pStyle w:val="TableParagraph"/>
              <w:spacing w:line="247" w:lineRule="exact" w:before="0"/>
              <w:ind w:right="94"/>
              <w:rPr>
                <w:rFonts w:ascii="Times New Roman"/>
                <w:b/>
                <w:sz w:val="22"/>
              </w:rPr>
            </w:pPr>
            <w:r>
              <w:rPr>
                <w:rFonts w:ascii="Times New Roman"/>
                <w:b/>
                <w:sz w:val="22"/>
              </w:rPr>
              <w:t>0,00</w:t>
            </w:r>
          </w:p>
        </w:tc>
        <w:tc>
          <w:tcPr>
            <w:tcW w:w="1622" w:type="dxa"/>
            <w:shd w:val="clear" w:color="auto" w:fill="F2F2F2"/>
          </w:tcPr>
          <w:p>
            <w:pPr>
              <w:pStyle w:val="TableParagraph"/>
              <w:spacing w:line="247" w:lineRule="exact" w:before="0"/>
              <w:ind w:right="94"/>
              <w:rPr>
                <w:rFonts w:ascii="Times New Roman"/>
                <w:b/>
                <w:sz w:val="22"/>
              </w:rPr>
            </w:pPr>
            <w:r>
              <w:rPr>
                <w:rFonts w:ascii="Times New Roman"/>
                <w:b/>
                <w:sz w:val="22"/>
              </w:rPr>
              <w:t>140.000,00</w:t>
            </w:r>
          </w:p>
        </w:tc>
      </w:tr>
      <w:tr>
        <w:trPr>
          <w:trHeight w:val="505" w:hRule="atLeast"/>
        </w:trPr>
        <w:tc>
          <w:tcPr>
            <w:tcW w:w="1277" w:type="dxa"/>
            <w:shd w:val="clear" w:color="auto" w:fill="F2F2F2"/>
          </w:tcPr>
          <w:p>
            <w:pPr>
              <w:pStyle w:val="TableParagraph"/>
              <w:spacing w:line="247" w:lineRule="exact" w:before="0"/>
              <w:ind w:left="110"/>
              <w:jc w:val="left"/>
              <w:rPr>
                <w:rFonts w:ascii="Times New Roman"/>
                <w:b/>
                <w:sz w:val="22"/>
              </w:rPr>
            </w:pPr>
            <w:r>
              <w:rPr>
                <w:rFonts w:ascii="Times New Roman"/>
                <w:b/>
                <w:sz w:val="22"/>
              </w:rPr>
              <w:t>Program</w:t>
            </w:r>
          </w:p>
          <w:p>
            <w:pPr>
              <w:pStyle w:val="TableParagraph"/>
              <w:spacing w:line="239" w:lineRule="exact" w:before="0"/>
              <w:ind w:left="110"/>
              <w:jc w:val="left"/>
              <w:rPr>
                <w:rFonts w:ascii="Times New Roman"/>
                <w:b/>
                <w:sz w:val="22"/>
              </w:rPr>
            </w:pPr>
            <w:r>
              <w:rPr>
                <w:rFonts w:ascii="Times New Roman"/>
                <w:b/>
                <w:sz w:val="22"/>
              </w:rPr>
              <w:t>1011</w:t>
            </w:r>
          </w:p>
        </w:tc>
        <w:tc>
          <w:tcPr>
            <w:tcW w:w="3970" w:type="dxa"/>
            <w:shd w:val="clear" w:color="auto" w:fill="F2F2F2"/>
          </w:tcPr>
          <w:p>
            <w:pPr>
              <w:pStyle w:val="TableParagraph"/>
              <w:spacing w:line="247" w:lineRule="exact" w:before="0"/>
              <w:ind w:left="109"/>
              <w:jc w:val="left"/>
              <w:rPr>
                <w:rFonts w:ascii="Times New Roman" w:hAnsi="Times New Roman"/>
                <w:b/>
                <w:sz w:val="22"/>
              </w:rPr>
            </w:pPr>
            <w:r>
              <w:rPr>
                <w:rFonts w:ascii="Times New Roman" w:hAnsi="Times New Roman"/>
                <w:b/>
                <w:sz w:val="22"/>
              </w:rPr>
              <w:t>Redovna djelatnost gradskog vijeća i</w:t>
            </w:r>
          </w:p>
          <w:p>
            <w:pPr>
              <w:pStyle w:val="TableParagraph"/>
              <w:spacing w:line="239" w:lineRule="exact" w:before="0"/>
              <w:ind w:left="109"/>
              <w:jc w:val="left"/>
              <w:rPr>
                <w:rFonts w:ascii="Times New Roman" w:hAnsi="Times New Roman"/>
                <w:b/>
                <w:sz w:val="22"/>
              </w:rPr>
            </w:pPr>
            <w:r>
              <w:rPr>
                <w:rFonts w:ascii="Times New Roman" w:hAnsi="Times New Roman"/>
                <w:b/>
                <w:sz w:val="22"/>
              </w:rPr>
              <w:t>ureda gradonačelnika</w:t>
            </w:r>
          </w:p>
        </w:tc>
        <w:tc>
          <w:tcPr>
            <w:tcW w:w="1481" w:type="dxa"/>
            <w:shd w:val="clear" w:color="auto" w:fill="F2F2F2"/>
          </w:tcPr>
          <w:p>
            <w:pPr>
              <w:pStyle w:val="TableParagraph"/>
              <w:spacing w:line="247" w:lineRule="exact" w:before="0"/>
              <w:ind w:right="94"/>
              <w:rPr>
                <w:rFonts w:ascii="Times New Roman"/>
                <w:b/>
                <w:sz w:val="22"/>
              </w:rPr>
            </w:pPr>
            <w:r>
              <w:rPr>
                <w:rFonts w:ascii="Times New Roman"/>
                <w:b/>
                <w:sz w:val="22"/>
              </w:rPr>
              <w:t>85.000,00</w:t>
            </w:r>
          </w:p>
        </w:tc>
        <w:tc>
          <w:tcPr>
            <w:tcW w:w="1560" w:type="dxa"/>
            <w:shd w:val="clear" w:color="auto" w:fill="F2F2F2"/>
          </w:tcPr>
          <w:p>
            <w:pPr>
              <w:pStyle w:val="TableParagraph"/>
              <w:spacing w:line="247" w:lineRule="exact" w:before="0"/>
              <w:ind w:right="94"/>
              <w:rPr>
                <w:rFonts w:ascii="Times New Roman"/>
                <w:b/>
                <w:sz w:val="22"/>
              </w:rPr>
            </w:pPr>
            <w:r>
              <w:rPr>
                <w:rFonts w:ascii="Times New Roman"/>
                <w:b/>
                <w:sz w:val="22"/>
              </w:rPr>
              <w:t>55.000,00</w:t>
            </w:r>
          </w:p>
        </w:tc>
        <w:tc>
          <w:tcPr>
            <w:tcW w:w="1536" w:type="dxa"/>
            <w:shd w:val="clear" w:color="auto" w:fill="F2F2F2"/>
          </w:tcPr>
          <w:p>
            <w:pPr>
              <w:pStyle w:val="TableParagraph"/>
              <w:spacing w:line="247" w:lineRule="exact" w:before="0"/>
              <w:ind w:right="94"/>
              <w:rPr>
                <w:rFonts w:ascii="Times New Roman"/>
                <w:b/>
                <w:sz w:val="22"/>
              </w:rPr>
            </w:pPr>
            <w:r>
              <w:rPr>
                <w:rFonts w:ascii="Times New Roman"/>
                <w:b/>
                <w:sz w:val="22"/>
              </w:rPr>
              <w:t>0,00</w:t>
            </w:r>
          </w:p>
        </w:tc>
        <w:tc>
          <w:tcPr>
            <w:tcW w:w="1622" w:type="dxa"/>
            <w:shd w:val="clear" w:color="auto" w:fill="F2F2F2"/>
          </w:tcPr>
          <w:p>
            <w:pPr>
              <w:pStyle w:val="TableParagraph"/>
              <w:spacing w:line="247" w:lineRule="exact" w:before="0"/>
              <w:ind w:right="94"/>
              <w:rPr>
                <w:rFonts w:ascii="Times New Roman"/>
                <w:b/>
                <w:sz w:val="22"/>
              </w:rPr>
            </w:pPr>
            <w:r>
              <w:rPr>
                <w:rFonts w:ascii="Times New Roman"/>
                <w:b/>
                <w:sz w:val="22"/>
              </w:rPr>
              <w:t>140.000,00</w:t>
            </w:r>
          </w:p>
        </w:tc>
      </w:tr>
      <w:tr>
        <w:trPr>
          <w:trHeight w:val="251" w:hRule="atLeast"/>
        </w:trPr>
        <w:tc>
          <w:tcPr>
            <w:tcW w:w="1277" w:type="dxa"/>
          </w:tcPr>
          <w:p>
            <w:pPr>
              <w:pStyle w:val="TableParagraph"/>
              <w:spacing w:line="232" w:lineRule="exact" w:before="0"/>
              <w:ind w:right="277"/>
              <w:rPr>
                <w:rFonts w:ascii="Times New Roman"/>
                <w:sz w:val="22"/>
              </w:rPr>
            </w:pPr>
            <w:r>
              <w:rPr>
                <w:rFonts w:ascii="Times New Roman"/>
                <w:sz w:val="22"/>
              </w:rPr>
              <w:t>A100110</w:t>
            </w:r>
          </w:p>
        </w:tc>
        <w:tc>
          <w:tcPr>
            <w:tcW w:w="3970" w:type="dxa"/>
          </w:tcPr>
          <w:p>
            <w:pPr>
              <w:pStyle w:val="TableParagraph"/>
              <w:spacing w:line="232" w:lineRule="exact" w:before="0"/>
              <w:ind w:left="109"/>
              <w:jc w:val="left"/>
              <w:rPr>
                <w:rFonts w:ascii="Times New Roman" w:hAnsi="Times New Roman"/>
                <w:sz w:val="22"/>
              </w:rPr>
            </w:pPr>
            <w:r>
              <w:rPr>
                <w:rFonts w:ascii="Times New Roman" w:hAnsi="Times New Roman"/>
                <w:sz w:val="22"/>
              </w:rPr>
              <w:t>Poslovanje Gradskog vijeća</w:t>
            </w:r>
          </w:p>
        </w:tc>
        <w:tc>
          <w:tcPr>
            <w:tcW w:w="1481" w:type="dxa"/>
          </w:tcPr>
          <w:p>
            <w:pPr>
              <w:pStyle w:val="TableParagraph"/>
              <w:spacing w:line="232" w:lineRule="exact" w:before="0"/>
              <w:ind w:right="94"/>
              <w:rPr>
                <w:rFonts w:ascii="Times New Roman"/>
                <w:sz w:val="22"/>
              </w:rPr>
            </w:pPr>
            <w:r>
              <w:rPr>
                <w:rFonts w:ascii="Times New Roman"/>
                <w:sz w:val="22"/>
              </w:rPr>
              <w:t>85.000,00</w:t>
            </w:r>
          </w:p>
        </w:tc>
        <w:tc>
          <w:tcPr>
            <w:tcW w:w="1560" w:type="dxa"/>
          </w:tcPr>
          <w:p>
            <w:pPr>
              <w:pStyle w:val="TableParagraph"/>
              <w:spacing w:line="232" w:lineRule="exact" w:before="0"/>
              <w:ind w:right="94"/>
              <w:rPr>
                <w:rFonts w:ascii="Times New Roman"/>
                <w:sz w:val="22"/>
              </w:rPr>
            </w:pPr>
            <w:r>
              <w:rPr>
                <w:rFonts w:ascii="Times New Roman"/>
                <w:sz w:val="22"/>
              </w:rPr>
              <w:t>55.000,00</w:t>
            </w:r>
          </w:p>
        </w:tc>
        <w:tc>
          <w:tcPr>
            <w:tcW w:w="1536" w:type="dxa"/>
          </w:tcPr>
          <w:p>
            <w:pPr>
              <w:pStyle w:val="TableParagraph"/>
              <w:spacing w:line="232" w:lineRule="exact" w:before="0"/>
              <w:ind w:right="94"/>
              <w:rPr>
                <w:rFonts w:ascii="Times New Roman"/>
                <w:sz w:val="22"/>
              </w:rPr>
            </w:pPr>
            <w:r>
              <w:rPr>
                <w:rFonts w:ascii="Times New Roman"/>
                <w:sz w:val="22"/>
              </w:rPr>
              <w:t>0,00</w:t>
            </w:r>
          </w:p>
        </w:tc>
        <w:tc>
          <w:tcPr>
            <w:tcW w:w="1622" w:type="dxa"/>
          </w:tcPr>
          <w:p>
            <w:pPr>
              <w:pStyle w:val="TableParagraph"/>
              <w:spacing w:line="232" w:lineRule="exact" w:before="0"/>
              <w:ind w:right="94"/>
              <w:rPr>
                <w:rFonts w:ascii="Times New Roman"/>
                <w:sz w:val="22"/>
              </w:rPr>
            </w:pPr>
            <w:r>
              <w:rPr>
                <w:rFonts w:ascii="Times New Roman"/>
                <w:sz w:val="22"/>
              </w:rPr>
              <w:t>140.000,00</w:t>
            </w:r>
          </w:p>
        </w:tc>
      </w:tr>
      <w:tr>
        <w:trPr>
          <w:trHeight w:val="253" w:hRule="atLeast"/>
        </w:trPr>
        <w:tc>
          <w:tcPr>
            <w:tcW w:w="1277" w:type="dxa"/>
          </w:tcPr>
          <w:p>
            <w:pPr>
              <w:pStyle w:val="TableParagraph"/>
              <w:spacing w:line="234" w:lineRule="exact" w:before="0"/>
              <w:ind w:left="110"/>
              <w:jc w:val="left"/>
              <w:rPr>
                <w:rFonts w:ascii="Times New Roman"/>
                <w:sz w:val="22"/>
              </w:rPr>
            </w:pPr>
            <w:r>
              <w:rPr>
                <w:rFonts w:ascii="Times New Roman"/>
                <w:sz w:val="22"/>
              </w:rPr>
              <w:t>329</w:t>
            </w:r>
          </w:p>
        </w:tc>
        <w:tc>
          <w:tcPr>
            <w:tcW w:w="3970" w:type="dxa"/>
          </w:tcPr>
          <w:p>
            <w:pPr>
              <w:pStyle w:val="TableParagraph"/>
              <w:spacing w:line="234" w:lineRule="exact" w:before="0"/>
              <w:ind w:left="109"/>
              <w:jc w:val="left"/>
              <w:rPr>
                <w:rFonts w:ascii="Times New Roman"/>
                <w:sz w:val="22"/>
              </w:rPr>
            </w:pPr>
            <w:r>
              <w:rPr>
                <w:rFonts w:ascii="Times New Roman"/>
                <w:sz w:val="22"/>
              </w:rPr>
              <w:t>Ostali nespomenuti rashodi poslovanja</w:t>
            </w:r>
          </w:p>
        </w:tc>
        <w:tc>
          <w:tcPr>
            <w:tcW w:w="1481" w:type="dxa"/>
          </w:tcPr>
          <w:p>
            <w:pPr>
              <w:pStyle w:val="TableParagraph"/>
              <w:spacing w:line="234" w:lineRule="exact" w:before="0"/>
              <w:ind w:right="94"/>
              <w:rPr>
                <w:rFonts w:ascii="Times New Roman"/>
                <w:sz w:val="22"/>
              </w:rPr>
            </w:pPr>
            <w:r>
              <w:rPr>
                <w:rFonts w:ascii="Times New Roman"/>
                <w:sz w:val="22"/>
              </w:rPr>
              <w:t>85.000,00</w:t>
            </w:r>
          </w:p>
        </w:tc>
        <w:tc>
          <w:tcPr>
            <w:tcW w:w="1560" w:type="dxa"/>
          </w:tcPr>
          <w:p>
            <w:pPr>
              <w:pStyle w:val="TableParagraph"/>
              <w:spacing w:line="234" w:lineRule="exact" w:before="0"/>
              <w:ind w:right="94"/>
              <w:rPr>
                <w:rFonts w:ascii="Times New Roman"/>
                <w:sz w:val="22"/>
              </w:rPr>
            </w:pPr>
            <w:r>
              <w:rPr>
                <w:rFonts w:ascii="Times New Roman"/>
                <w:sz w:val="22"/>
              </w:rPr>
              <w:t>55.000,00</w:t>
            </w:r>
          </w:p>
        </w:tc>
        <w:tc>
          <w:tcPr>
            <w:tcW w:w="1536" w:type="dxa"/>
          </w:tcPr>
          <w:p>
            <w:pPr>
              <w:pStyle w:val="TableParagraph"/>
              <w:spacing w:line="234" w:lineRule="exact" w:before="0"/>
              <w:ind w:right="94"/>
              <w:rPr>
                <w:rFonts w:ascii="Times New Roman"/>
                <w:sz w:val="22"/>
              </w:rPr>
            </w:pPr>
            <w:r>
              <w:rPr>
                <w:rFonts w:ascii="Times New Roman"/>
                <w:sz w:val="22"/>
              </w:rPr>
              <w:t>0,00</w:t>
            </w:r>
          </w:p>
        </w:tc>
        <w:tc>
          <w:tcPr>
            <w:tcW w:w="1622" w:type="dxa"/>
          </w:tcPr>
          <w:p>
            <w:pPr>
              <w:pStyle w:val="TableParagraph"/>
              <w:spacing w:line="234" w:lineRule="exact" w:before="0"/>
              <w:ind w:right="94"/>
              <w:rPr>
                <w:rFonts w:ascii="Times New Roman"/>
                <w:sz w:val="22"/>
              </w:rPr>
            </w:pPr>
            <w:r>
              <w:rPr>
                <w:rFonts w:ascii="Times New Roman"/>
                <w:sz w:val="22"/>
              </w:rPr>
              <w:t>140.000,00</w:t>
            </w:r>
          </w:p>
        </w:tc>
      </w:tr>
      <w:tr>
        <w:trPr>
          <w:trHeight w:val="506" w:hRule="atLeast"/>
        </w:trPr>
        <w:tc>
          <w:tcPr>
            <w:tcW w:w="1277" w:type="dxa"/>
            <w:shd w:val="clear" w:color="auto" w:fill="F2F2F2"/>
          </w:tcPr>
          <w:p>
            <w:pPr>
              <w:pStyle w:val="TableParagraph"/>
              <w:spacing w:line="247" w:lineRule="exact" w:before="0"/>
              <w:ind w:left="110"/>
              <w:jc w:val="left"/>
              <w:rPr>
                <w:rFonts w:ascii="Times New Roman"/>
                <w:b/>
                <w:sz w:val="22"/>
              </w:rPr>
            </w:pPr>
            <w:r>
              <w:rPr>
                <w:rFonts w:ascii="Times New Roman"/>
                <w:b/>
                <w:sz w:val="22"/>
              </w:rPr>
              <w:t>Razdjel</w:t>
            </w:r>
          </w:p>
          <w:p>
            <w:pPr>
              <w:pStyle w:val="TableParagraph"/>
              <w:spacing w:line="239" w:lineRule="exact" w:before="0"/>
              <w:ind w:left="110"/>
              <w:jc w:val="left"/>
              <w:rPr>
                <w:rFonts w:ascii="Times New Roman"/>
                <w:b/>
                <w:sz w:val="22"/>
              </w:rPr>
            </w:pPr>
            <w:r>
              <w:rPr>
                <w:rFonts w:ascii="Times New Roman"/>
                <w:b/>
                <w:sz w:val="22"/>
              </w:rPr>
              <w:t>003</w:t>
            </w:r>
          </w:p>
        </w:tc>
        <w:tc>
          <w:tcPr>
            <w:tcW w:w="3970" w:type="dxa"/>
            <w:shd w:val="clear" w:color="auto" w:fill="F2F2F2"/>
          </w:tcPr>
          <w:p>
            <w:pPr>
              <w:pStyle w:val="TableParagraph"/>
              <w:spacing w:line="247" w:lineRule="exact" w:before="0"/>
              <w:ind w:left="109"/>
              <w:jc w:val="left"/>
              <w:rPr>
                <w:rFonts w:ascii="Times New Roman"/>
                <w:b/>
                <w:sz w:val="22"/>
              </w:rPr>
            </w:pPr>
            <w:r>
              <w:rPr>
                <w:rFonts w:ascii="Times New Roman"/>
                <w:b/>
                <w:sz w:val="22"/>
              </w:rPr>
              <w:t>UPRAVNI ODJEL ZA FINANCIJE I</w:t>
            </w:r>
          </w:p>
          <w:p>
            <w:pPr>
              <w:pStyle w:val="TableParagraph"/>
              <w:spacing w:line="239" w:lineRule="exact" w:before="0"/>
              <w:ind w:left="109"/>
              <w:jc w:val="left"/>
              <w:rPr>
                <w:rFonts w:ascii="Times New Roman"/>
                <w:b/>
                <w:sz w:val="22"/>
              </w:rPr>
            </w:pPr>
            <w:r>
              <w:rPr>
                <w:rFonts w:ascii="Times New Roman"/>
                <w:b/>
                <w:sz w:val="22"/>
              </w:rPr>
              <w:t>GOSPODARSTVO</w:t>
            </w:r>
          </w:p>
        </w:tc>
        <w:tc>
          <w:tcPr>
            <w:tcW w:w="1481" w:type="dxa"/>
            <w:shd w:val="clear" w:color="auto" w:fill="F2F2F2"/>
          </w:tcPr>
          <w:p>
            <w:pPr>
              <w:pStyle w:val="TableParagraph"/>
              <w:spacing w:line="247" w:lineRule="exact" w:before="0"/>
              <w:ind w:right="92"/>
              <w:rPr>
                <w:rFonts w:ascii="Times New Roman"/>
                <w:b/>
                <w:sz w:val="22"/>
              </w:rPr>
            </w:pPr>
            <w:r>
              <w:rPr>
                <w:rFonts w:ascii="Times New Roman"/>
                <w:b/>
                <w:sz w:val="22"/>
              </w:rPr>
              <w:t>1.569.707,91</w:t>
            </w:r>
          </w:p>
        </w:tc>
        <w:tc>
          <w:tcPr>
            <w:tcW w:w="1560" w:type="dxa"/>
            <w:shd w:val="clear" w:color="auto" w:fill="F2F2F2"/>
          </w:tcPr>
          <w:p>
            <w:pPr>
              <w:pStyle w:val="TableParagraph"/>
              <w:spacing w:line="247" w:lineRule="exact" w:before="0"/>
              <w:ind w:right="94"/>
              <w:rPr>
                <w:rFonts w:ascii="Times New Roman"/>
                <w:b/>
                <w:sz w:val="22"/>
              </w:rPr>
            </w:pPr>
            <w:r>
              <w:rPr>
                <w:rFonts w:ascii="Times New Roman"/>
                <w:b/>
                <w:sz w:val="22"/>
              </w:rPr>
              <w:t>0,00</w:t>
            </w:r>
          </w:p>
        </w:tc>
        <w:tc>
          <w:tcPr>
            <w:tcW w:w="1536" w:type="dxa"/>
            <w:shd w:val="clear" w:color="auto" w:fill="F2F2F2"/>
          </w:tcPr>
          <w:p>
            <w:pPr>
              <w:pStyle w:val="TableParagraph"/>
              <w:spacing w:line="247" w:lineRule="exact" w:before="0"/>
              <w:ind w:right="94"/>
              <w:rPr>
                <w:rFonts w:ascii="Times New Roman"/>
                <w:b/>
                <w:sz w:val="22"/>
              </w:rPr>
            </w:pPr>
            <w:r>
              <w:rPr>
                <w:rFonts w:ascii="Times New Roman"/>
                <w:b/>
                <w:sz w:val="22"/>
              </w:rPr>
              <w:t>-55.000,00</w:t>
            </w:r>
          </w:p>
        </w:tc>
        <w:tc>
          <w:tcPr>
            <w:tcW w:w="1622" w:type="dxa"/>
            <w:shd w:val="clear" w:color="auto" w:fill="F2F2F2"/>
          </w:tcPr>
          <w:p>
            <w:pPr>
              <w:pStyle w:val="TableParagraph"/>
              <w:spacing w:line="247" w:lineRule="exact" w:before="0"/>
              <w:ind w:right="91"/>
              <w:rPr>
                <w:rFonts w:ascii="Times New Roman"/>
                <w:b/>
                <w:sz w:val="22"/>
              </w:rPr>
            </w:pPr>
            <w:r>
              <w:rPr>
                <w:rFonts w:ascii="Times New Roman"/>
                <w:b/>
                <w:sz w:val="22"/>
              </w:rPr>
              <w:t>1.514.707,91</w:t>
            </w:r>
          </w:p>
        </w:tc>
      </w:tr>
      <w:tr>
        <w:trPr>
          <w:trHeight w:val="505" w:hRule="atLeast"/>
        </w:trPr>
        <w:tc>
          <w:tcPr>
            <w:tcW w:w="1277" w:type="dxa"/>
            <w:shd w:val="clear" w:color="auto" w:fill="F2F2F2"/>
          </w:tcPr>
          <w:p>
            <w:pPr>
              <w:pStyle w:val="TableParagraph"/>
              <w:spacing w:line="247" w:lineRule="exact" w:before="0"/>
              <w:ind w:left="110"/>
              <w:jc w:val="left"/>
              <w:rPr>
                <w:rFonts w:ascii="Times New Roman"/>
                <w:b/>
                <w:sz w:val="22"/>
              </w:rPr>
            </w:pPr>
            <w:r>
              <w:rPr>
                <w:rFonts w:ascii="Times New Roman"/>
                <w:b/>
                <w:sz w:val="22"/>
              </w:rPr>
              <w:t>Program</w:t>
            </w:r>
          </w:p>
          <w:p>
            <w:pPr>
              <w:pStyle w:val="TableParagraph"/>
              <w:spacing w:line="239" w:lineRule="exact" w:before="0"/>
              <w:ind w:left="110"/>
              <w:jc w:val="left"/>
              <w:rPr>
                <w:rFonts w:ascii="Times New Roman"/>
                <w:b/>
                <w:sz w:val="22"/>
              </w:rPr>
            </w:pPr>
            <w:r>
              <w:rPr>
                <w:rFonts w:ascii="Times New Roman"/>
                <w:b/>
                <w:sz w:val="22"/>
              </w:rPr>
              <w:t>3013</w:t>
            </w:r>
          </w:p>
        </w:tc>
        <w:tc>
          <w:tcPr>
            <w:tcW w:w="3970" w:type="dxa"/>
            <w:shd w:val="clear" w:color="auto" w:fill="F2F2F2"/>
          </w:tcPr>
          <w:p>
            <w:pPr>
              <w:pStyle w:val="TableParagraph"/>
              <w:spacing w:line="247" w:lineRule="exact" w:before="0"/>
              <w:ind w:left="109"/>
              <w:jc w:val="left"/>
              <w:rPr>
                <w:rFonts w:ascii="Times New Roman"/>
                <w:b/>
                <w:sz w:val="22"/>
              </w:rPr>
            </w:pPr>
            <w:r>
              <w:rPr>
                <w:rFonts w:ascii="Times New Roman"/>
                <w:b/>
                <w:sz w:val="22"/>
              </w:rPr>
              <w:t>PROGRAM JAVNE UPRAVE I</w:t>
            </w:r>
          </w:p>
          <w:p>
            <w:pPr>
              <w:pStyle w:val="TableParagraph"/>
              <w:spacing w:line="239" w:lineRule="exact" w:before="0"/>
              <w:ind w:left="109"/>
              <w:jc w:val="left"/>
              <w:rPr>
                <w:rFonts w:ascii="Times New Roman"/>
                <w:b/>
                <w:sz w:val="22"/>
              </w:rPr>
            </w:pPr>
            <w:r>
              <w:rPr>
                <w:rFonts w:ascii="Times New Roman"/>
                <w:b/>
                <w:sz w:val="22"/>
              </w:rPr>
              <w:t>ADMINISTRACIJE</w:t>
            </w:r>
          </w:p>
        </w:tc>
        <w:tc>
          <w:tcPr>
            <w:tcW w:w="1481" w:type="dxa"/>
            <w:shd w:val="clear" w:color="auto" w:fill="F2F2F2"/>
          </w:tcPr>
          <w:p>
            <w:pPr>
              <w:pStyle w:val="TableParagraph"/>
              <w:spacing w:line="247" w:lineRule="exact" w:before="0"/>
              <w:ind w:right="92"/>
              <w:rPr>
                <w:rFonts w:ascii="Times New Roman"/>
                <w:b/>
                <w:sz w:val="22"/>
              </w:rPr>
            </w:pPr>
            <w:r>
              <w:rPr>
                <w:rFonts w:ascii="Times New Roman"/>
                <w:b/>
                <w:sz w:val="22"/>
              </w:rPr>
              <w:t>1.569.707,91</w:t>
            </w:r>
          </w:p>
        </w:tc>
        <w:tc>
          <w:tcPr>
            <w:tcW w:w="1560" w:type="dxa"/>
            <w:shd w:val="clear" w:color="auto" w:fill="F2F2F2"/>
          </w:tcPr>
          <w:p>
            <w:pPr>
              <w:pStyle w:val="TableParagraph"/>
              <w:spacing w:line="247" w:lineRule="exact" w:before="0"/>
              <w:ind w:right="94"/>
              <w:rPr>
                <w:rFonts w:ascii="Times New Roman"/>
                <w:b/>
                <w:sz w:val="22"/>
              </w:rPr>
            </w:pPr>
            <w:r>
              <w:rPr>
                <w:rFonts w:ascii="Times New Roman"/>
                <w:b/>
                <w:sz w:val="22"/>
              </w:rPr>
              <w:t>0,00</w:t>
            </w:r>
          </w:p>
        </w:tc>
        <w:tc>
          <w:tcPr>
            <w:tcW w:w="1536" w:type="dxa"/>
            <w:shd w:val="clear" w:color="auto" w:fill="F2F2F2"/>
          </w:tcPr>
          <w:p>
            <w:pPr>
              <w:pStyle w:val="TableParagraph"/>
              <w:spacing w:line="247" w:lineRule="exact" w:before="0"/>
              <w:ind w:right="94"/>
              <w:rPr>
                <w:rFonts w:ascii="Times New Roman"/>
                <w:b/>
                <w:sz w:val="22"/>
              </w:rPr>
            </w:pPr>
            <w:r>
              <w:rPr>
                <w:rFonts w:ascii="Times New Roman"/>
                <w:b/>
                <w:sz w:val="22"/>
              </w:rPr>
              <w:t>-55.000,00</w:t>
            </w:r>
          </w:p>
        </w:tc>
        <w:tc>
          <w:tcPr>
            <w:tcW w:w="1622" w:type="dxa"/>
            <w:shd w:val="clear" w:color="auto" w:fill="F2F2F2"/>
          </w:tcPr>
          <w:p>
            <w:pPr>
              <w:pStyle w:val="TableParagraph"/>
              <w:spacing w:line="247" w:lineRule="exact" w:before="0"/>
              <w:ind w:right="91"/>
              <w:rPr>
                <w:rFonts w:ascii="Times New Roman"/>
                <w:b/>
                <w:sz w:val="22"/>
              </w:rPr>
            </w:pPr>
            <w:r>
              <w:rPr>
                <w:rFonts w:ascii="Times New Roman"/>
                <w:b/>
                <w:sz w:val="22"/>
              </w:rPr>
              <w:t>1.514.707,91</w:t>
            </w:r>
          </w:p>
        </w:tc>
      </w:tr>
      <w:tr>
        <w:trPr>
          <w:trHeight w:val="251" w:hRule="atLeast"/>
        </w:trPr>
        <w:tc>
          <w:tcPr>
            <w:tcW w:w="1277" w:type="dxa"/>
          </w:tcPr>
          <w:p>
            <w:pPr>
              <w:pStyle w:val="TableParagraph"/>
              <w:spacing w:line="232" w:lineRule="exact" w:before="0"/>
              <w:ind w:right="277"/>
              <w:rPr>
                <w:rFonts w:ascii="Times New Roman"/>
                <w:sz w:val="22"/>
              </w:rPr>
            </w:pPr>
            <w:r>
              <w:rPr>
                <w:rFonts w:ascii="Times New Roman"/>
                <w:sz w:val="22"/>
              </w:rPr>
              <w:t>A301310</w:t>
            </w:r>
          </w:p>
        </w:tc>
        <w:tc>
          <w:tcPr>
            <w:tcW w:w="3970" w:type="dxa"/>
          </w:tcPr>
          <w:p>
            <w:pPr>
              <w:pStyle w:val="TableParagraph"/>
              <w:spacing w:line="232" w:lineRule="exact" w:before="0"/>
              <w:ind w:left="109"/>
              <w:jc w:val="left"/>
              <w:rPr>
                <w:rFonts w:ascii="Times New Roman"/>
                <w:sz w:val="22"/>
              </w:rPr>
            </w:pPr>
            <w:r>
              <w:rPr>
                <w:rFonts w:ascii="Times New Roman"/>
                <w:sz w:val="22"/>
              </w:rPr>
              <w:t>Rashodi za zaposlene</w:t>
            </w:r>
          </w:p>
        </w:tc>
        <w:tc>
          <w:tcPr>
            <w:tcW w:w="1481" w:type="dxa"/>
          </w:tcPr>
          <w:p>
            <w:pPr>
              <w:pStyle w:val="TableParagraph"/>
              <w:spacing w:line="232" w:lineRule="exact" w:before="0"/>
              <w:ind w:right="92"/>
              <w:rPr>
                <w:rFonts w:ascii="Times New Roman"/>
                <w:sz w:val="22"/>
              </w:rPr>
            </w:pPr>
            <w:r>
              <w:rPr>
                <w:rFonts w:ascii="Times New Roman"/>
                <w:sz w:val="22"/>
              </w:rPr>
              <w:t>1.569.707,91</w:t>
            </w:r>
          </w:p>
        </w:tc>
        <w:tc>
          <w:tcPr>
            <w:tcW w:w="1560" w:type="dxa"/>
          </w:tcPr>
          <w:p>
            <w:pPr>
              <w:pStyle w:val="TableParagraph"/>
              <w:spacing w:line="232" w:lineRule="exact" w:before="0"/>
              <w:ind w:right="94"/>
              <w:rPr>
                <w:rFonts w:ascii="Times New Roman"/>
                <w:sz w:val="22"/>
              </w:rPr>
            </w:pPr>
            <w:r>
              <w:rPr>
                <w:rFonts w:ascii="Times New Roman"/>
                <w:sz w:val="22"/>
              </w:rPr>
              <w:t>0,00</w:t>
            </w:r>
          </w:p>
        </w:tc>
        <w:tc>
          <w:tcPr>
            <w:tcW w:w="1536" w:type="dxa"/>
          </w:tcPr>
          <w:p>
            <w:pPr>
              <w:pStyle w:val="TableParagraph"/>
              <w:spacing w:line="232" w:lineRule="exact" w:before="0"/>
              <w:ind w:right="96"/>
              <w:rPr>
                <w:rFonts w:ascii="Times New Roman"/>
                <w:sz w:val="22"/>
              </w:rPr>
            </w:pPr>
            <w:r>
              <w:rPr>
                <w:rFonts w:ascii="Times New Roman"/>
                <w:sz w:val="22"/>
              </w:rPr>
              <w:t>-55.000,00</w:t>
            </w:r>
          </w:p>
        </w:tc>
        <w:tc>
          <w:tcPr>
            <w:tcW w:w="1622" w:type="dxa"/>
          </w:tcPr>
          <w:p>
            <w:pPr>
              <w:pStyle w:val="TableParagraph"/>
              <w:spacing w:line="232" w:lineRule="exact" w:before="0"/>
              <w:ind w:right="91"/>
              <w:rPr>
                <w:rFonts w:ascii="Times New Roman"/>
                <w:sz w:val="22"/>
              </w:rPr>
            </w:pPr>
            <w:r>
              <w:rPr>
                <w:rFonts w:ascii="Times New Roman"/>
                <w:sz w:val="22"/>
              </w:rPr>
              <w:t>1.514.707,91</w:t>
            </w:r>
          </w:p>
        </w:tc>
      </w:tr>
      <w:tr>
        <w:trPr>
          <w:trHeight w:val="253" w:hRule="atLeast"/>
        </w:trPr>
        <w:tc>
          <w:tcPr>
            <w:tcW w:w="1277" w:type="dxa"/>
          </w:tcPr>
          <w:p>
            <w:pPr>
              <w:pStyle w:val="TableParagraph"/>
              <w:spacing w:line="234" w:lineRule="exact" w:before="0"/>
              <w:ind w:left="110"/>
              <w:jc w:val="left"/>
              <w:rPr>
                <w:rFonts w:ascii="Times New Roman"/>
                <w:sz w:val="22"/>
              </w:rPr>
            </w:pPr>
            <w:r>
              <w:rPr>
                <w:rFonts w:ascii="Times New Roman"/>
                <w:sz w:val="22"/>
              </w:rPr>
              <w:t>311</w:t>
            </w:r>
          </w:p>
        </w:tc>
        <w:tc>
          <w:tcPr>
            <w:tcW w:w="3970" w:type="dxa"/>
          </w:tcPr>
          <w:p>
            <w:pPr>
              <w:pStyle w:val="TableParagraph"/>
              <w:spacing w:line="234" w:lineRule="exact" w:before="0"/>
              <w:ind w:left="109"/>
              <w:jc w:val="left"/>
              <w:rPr>
                <w:rFonts w:ascii="Times New Roman" w:hAnsi="Times New Roman"/>
                <w:sz w:val="22"/>
              </w:rPr>
            </w:pPr>
            <w:r>
              <w:rPr>
                <w:rFonts w:ascii="Times New Roman" w:hAnsi="Times New Roman"/>
                <w:sz w:val="22"/>
              </w:rPr>
              <w:t>Plaće</w:t>
            </w:r>
          </w:p>
        </w:tc>
        <w:tc>
          <w:tcPr>
            <w:tcW w:w="1481" w:type="dxa"/>
          </w:tcPr>
          <w:p>
            <w:pPr>
              <w:pStyle w:val="TableParagraph"/>
              <w:spacing w:line="234" w:lineRule="exact" w:before="0"/>
              <w:ind w:right="92"/>
              <w:rPr>
                <w:rFonts w:ascii="Times New Roman"/>
                <w:sz w:val="22"/>
              </w:rPr>
            </w:pPr>
            <w:r>
              <w:rPr>
                <w:rFonts w:ascii="Times New Roman"/>
                <w:sz w:val="22"/>
              </w:rPr>
              <w:t>1.569.707,91</w:t>
            </w:r>
          </w:p>
        </w:tc>
        <w:tc>
          <w:tcPr>
            <w:tcW w:w="1560" w:type="dxa"/>
          </w:tcPr>
          <w:p>
            <w:pPr>
              <w:pStyle w:val="TableParagraph"/>
              <w:spacing w:line="234" w:lineRule="exact" w:before="0"/>
              <w:ind w:right="94"/>
              <w:rPr>
                <w:rFonts w:ascii="Times New Roman"/>
                <w:sz w:val="22"/>
              </w:rPr>
            </w:pPr>
            <w:r>
              <w:rPr>
                <w:rFonts w:ascii="Times New Roman"/>
                <w:sz w:val="22"/>
              </w:rPr>
              <w:t>0,00</w:t>
            </w:r>
          </w:p>
        </w:tc>
        <w:tc>
          <w:tcPr>
            <w:tcW w:w="1536" w:type="dxa"/>
          </w:tcPr>
          <w:p>
            <w:pPr>
              <w:pStyle w:val="TableParagraph"/>
              <w:spacing w:line="234" w:lineRule="exact" w:before="0"/>
              <w:ind w:right="96"/>
              <w:rPr>
                <w:rFonts w:ascii="Times New Roman"/>
                <w:sz w:val="22"/>
              </w:rPr>
            </w:pPr>
            <w:r>
              <w:rPr>
                <w:rFonts w:ascii="Times New Roman"/>
                <w:sz w:val="22"/>
              </w:rPr>
              <w:t>-55.000,00</w:t>
            </w:r>
          </w:p>
        </w:tc>
        <w:tc>
          <w:tcPr>
            <w:tcW w:w="1622" w:type="dxa"/>
          </w:tcPr>
          <w:p>
            <w:pPr>
              <w:pStyle w:val="TableParagraph"/>
              <w:spacing w:line="234" w:lineRule="exact" w:before="0"/>
              <w:ind w:right="91"/>
              <w:rPr>
                <w:rFonts w:ascii="Times New Roman"/>
                <w:sz w:val="22"/>
              </w:rPr>
            </w:pPr>
            <w:r>
              <w:rPr>
                <w:rFonts w:ascii="Times New Roman"/>
                <w:sz w:val="22"/>
              </w:rPr>
              <w:t>1.514.707,91</w:t>
            </w:r>
          </w:p>
        </w:tc>
      </w:tr>
    </w:tbl>
    <w:p>
      <w:pPr>
        <w:pStyle w:val="BodyText"/>
        <w:spacing w:before="1"/>
        <w:rPr>
          <w:sz w:val="15"/>
        </w:rPr>
      </w:pPr>
    </w:p>
    <w:p>
      <w:pPr>
        <w:pStyle w:val="BodyText"/>
        <w:spacing w:before="90"/>
        <w:ind w:left="1256" w:right="884" w:firstLine="720"/>
        <w:jc w:val="both"/>
      </w:pPr>
      <w:r>
        <w:rPr/>
        <w:t>Do preraspodjele sredstava je došlo radi potrebe uvećanja sredstava planiranih za provođenje izbora za mjesne odbore. Sredstva planirana za plaće zaposlenih u gradskoj upravi umanjila se se za 55.000,00 kn te su se za isti iznos uvećala sredstva planirana za naknade i ostale troškove provođenja izbora za mjesne odbore.</w:t>
      </w:r>
    </w:p>
    <w:p>
      <w:pPr>
        <w:pStyle w:val="BodyText"/>
        <w:ind w:left="1256" w:right="882" w:firstLine="720"/>
        <w:jc w:val="both"/>
      </w:pPr>
      <w:r>
        <w:rPr/>
        <w:t>Izvršenim preraspodjelama nije se promijenio iznos ukupno planiranih rashoda i izdataka za 2014. godinu, a gradonačelnica je o preraspodjelama sredstava dužna izvijestiti Gradsko vijeće u sklopu Polugodišnjeg izvještaja o izvršenju proračuna Grada Ozlja za 2014. godinu.</w:t>
      </w:r>
    </w:p>
    <w:p>
      <w:pPr>
        <w:pStyle w:val="BodyText"/>
        <w:ind w:left="1256" w:right="882" w:firstLine="720"/>
        <w:jc w:val="both"/>
      </w:pPr>
      <w:r>
        <w:rPr/>
        <w:t>Sukladno odredbama Pravilnika o polugodišnjem i godišnjem izvještaju o izvršenju proračuna (Narodne novine 24/13), ukoliko su tokom godine vršene preraspodjele sredstava u proračunu, u Polugodišnjem i Godišnjem izvještaju o izvršenju proračuna se iskazuje izvorni plan proračuna, koji predstavlja poslijednje izmjene i dopune proračuna donesene od strane predstavničkog tijela, te tekući plan proračuna, koji predstavlja poslijednje izmjene i dopune proračuna s uključenim preraspodjelama.</w:t>
      </w:r>
    </w:p>
    <w:p>
      <w:pPr>
        <w:pStyle w:val="BodyText"/>
        <w:spacing w:before="5"/>
      </w:pPr>
    </w:p>
    <w:p>
      <w:pPr>
        <w:pStyle w:val="Heading1"/>
        <w:numPr>
          <w:ilvl w:val="0"/>
          <w:numId w:val="4"/>
        </w:numPr>
        <w:tabs>
          <w:tab w:pos="1890" w:val="left" w:leader="none"/>
        </w:tabs>
        <w:spacing w:line="240" w:lineRule="auto" w:before="0" w:after="0"/>
        <w:ind w:left="1889" w:right="0" w:hanging="274"/>
        <w:jc w:val="left"/>
      </w:pPr>
      <w:r>
        <w:rPr/>
        <w:t>Izvješće o izvršenju po razdjelima i programima</w:t>
      </w:r>
      <w:r>
        <w:rPr>
          <w:spacing w:val="-5"/>
        </w:rPr>
        <w:t> </w:t>
      </w:r>
      <w:r>
        <w:rPr/>
        <w:t>proračuna</w:t>
      </w:r>
    </w:p>
    <w:p>
      <w:pPr>
        <w:pStyle w:val="BodyText"/>
        <w:spacing w:before="7"/>
        <w:rPr>
          <w:b/>
          <w:sz w:val="23"/>
        </w:rPr>
      </w:pPr>
    </w:p>
    <w:p>
      <w:pPr>
        <w:pStyle w:val="BodyText"/>
        <w:ind w:left="1256" w:right="886" w:firstLine="720"/>
        <w:jc w:val="both"/>
      </w:pPr>
      <w:r>
        <w:rPr/>
        <w:t>Obzirom na razdjele i programe, izvršenje proračuna Grada Ozlja u prvoj polovici 2014. godini je slijedeće:</w:t>
      </w:r>
    </w:p>
    <w:p>
      <w:pPr>
        <w:pStyle w:val="BodyText"/>
        <w:spacing w:before="8"/>
      </w:pPr>
    </w:p>
    <w:tbl>
      <w:tblPr>
        <w:tblW w:w="0" w:type="auto"/>
        <w:jc w:val="left"/>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4"/>
        <w:gridCol w:w="5556"/>
        <w:gridCol w:w="1560"/>
        <w:gridCol w:w="1440"/>
        <w:gridCol w:w="900"/>
      </w:tblGrid>
      <w:tr>
        <w:trPr>
          <w:trHeight w:val="506" w:hRule="atLeast"/>
        </w:trPr>
        <w:tc>
          <w:tcPr>
            <w:tcW w:w="1534" w:type="dxa"/>
          </w:tcPr>
          <w:p>
            <w:pPr>
              <w:pStyle w:val="TableParagraph"/>
              <w:tabs>
                <w:tab w:pos="914" w:val="left" w:leader="none"/>
              </w:tabs>
              <w:spacing w:line="235" w:lineRule="auto" w:before="1"/>
              <w:ind w:left="753" w:right="78" w:hanging="752"/>
              <w:jc w:val="left"/>
              <w:rPr>
                <w:rFonts w:ascii="Times New Roman"/>
                <w:sz w:val="20"/>
              </w:rPr>
            </w:pPr>
            <w:r>
              <w:rPr>
                <w:rFonts w:ascii="Times New Roman"/>
                <w:b/>
                <w:i/>
                <w:sz w:val="20"/>
              </w:rPr>
              <w:t>Razdjel</w:t>
              <w:tab/>
              <w:tab/>
            </w:r>
            <w:r>
              <w:rPr>
                <w:rFonts w:ascii="Times New Roman"/>
                <w:b/>
                <w:sz w:val="20"/>
              </w:rPr>
              <w:t>Glava </w:t>
            </w:r>
            <w:r>
              <w:rPr>
                <w:rFonts w:ascii="Times New Roman"/>
                <w:sz w:val="20"/>
              </w:rPr>
              <w:t>Program</w:t>
            </w:r>
          </w:p>
        </w:tc>
        <w:tc>
          <w:tcPr>
            <w:tcW w:w="5556" w:type="dxa"/>
          </w:tcPr>
          <w:p>
            <w:pPr>
              <w:pStyle w:val="TableParagraph"/>
              <w:spacing w:line="251" w:lineRule="exact" w:before="0"/>
              <w:ind w:left="2540" w:right="2524"/>
              <w:jc w:val="center"/>
              <w:rPr>
                <w:rFonts w:ascii="Times New Roman"/>
                <w:b/>
                <w:sz w:val="22"/>
              </w:rPr>
            </w:pPr>
            <w:r>
              <w:rPr>
                <w:rFonts w:ascii="Times New Roman"/>
                <w:b/>
                <w:sz w:val="22"/>
              </w:rPr>
              <w:t>Opis</w:t>
            </w:r>
          </w:p>
        </w:tc>
        <w:tc>
          <w:tcPr>
            <w:tcW w:w="1560" w:type="dxa"/>
          </w:tcPr>
          <w:p>
            <w:pPr>
              <w:pStyle w:val="TableParagraph"/>
              <w:spacing w:line="254" w:lineRule="exact" w:before="0"/>
              <w:ind w:left="400" w:right="194" w:hanging="183"/>
              <w:jc w:val="left"/>
              <w:rPr>
                <w:rFonts w:ascii="Times New Roman" w:hAnsi="Times New Roman"/>
                <w:b/>
                <w:sz w:val="22"/>
              </w:rPr>
            </w:pPr>
            <w:r>
              <w:rPr>
                <w:rFonts w:ascii="Times New Roman" w:hAnsi="Times New Roman"/>
                <w:b/>
                <w:sz w:val="22"/>
              </w:rPr>
              <w:t>Tekući plan za 2014.</w:t>
            </w:r>
          </w:p>
        </w:tc>
        <w:tc>
          <w:tcPr>
            <w:tcW w:w="1440" w:type="dxa"/>
          </w:tcPr>
          <w:p>
            <w:pPr>
              <w:pStyle w:val="TableParagraph"/>
              <w:spacing w:line="254" w:lineRule="exact" w:before="0"/>
              <w:ind w:left="131" w:right="120" w:firstLine="98"/>
              <w:jc w:val="left"/>
              <w:rPr>
                <w:rFonts w:ascii="Times New Roman"/>
                <w:b/>
                <w:sz w:val="22"/>
              </w:rPr>
            </w:pPr>
            <w:r>
              <w:rPr>
                <w:rFonts w:ascii="Times New Roman"/>
                <w:b/>
                <w:sz w:val="22"/>
              </w:rPr>
              <w:t>Ostvareno 01.01.-30.06.</w:t>
            </w:r>
          </w:p>
        </w:tc>
        <w:tc>
          <w:tcPr>
            <w:tcW w:w="900" w:type="dxa"/>
          </w:tcPr>
          <w:p>
            <w:pPr>
              <w:pStyle w:val="TableParagraph"/>
              <w:spacing w:line="251" w:lineRule="exact" w:before="0"/>
              <w:ind w:left="112" w:right="102"/>
              <w:jc w:val="center"/>
              <w:rPr>
                <w:rFonts w:ascii="Times New Roman"/>
                <w:b/>
                <w:sz w:val="22"/>
              </w:rPr>
            </w:pPr>
            <w:r>
              <w:rPr>
                <w:rFonts w:ascii="Times New Roman"/>
                <w:b/>
                <w:sz w:val="22"/>
              </w:rPr>
              <w:t>Indeks</w:t>
            </w:r>
          </w:p>
          <w:p>
            <w:pPr>
              <w:pStyle w:val="TableParagraph"/>
              <w:spacing w:line="233" w:lineRule="exact" w:before="1"/>
              <w:ind w:left="6"/>
              <w:jc w:val="center"/>
              <w:rPr>
                <w:rFonts w:ascii="Times New Roman"/>
                <w:b/>
                <w:sz w:val="22"/>
              </w:rPr>
            </w:pPr>
            <w:r>
              <w:rPr>
                <w:rFonts w:ascii="Times New Roman"/>
                <w:b/>
                <w:w w:val="100"/>
                <w:sz w:val="22"/>
              </w:rPr>
              <w:t>%</w:t>
            </w:r>
          </w:p>
        </w:tc>
      </w:tr>
      <w:tr>
        <w:trPr>
          <w:trHeight w:val="251" w:hRule="atLeast"/>
        </w:trPr>
        <w:tc>
          <w:tcPr>
            <w:tcW w:w="1534" w:type="dxa"/>
          </w:tcPr>
          <w:p>
            <w:pPr>
              <w:pStyle w:val="TableParagraph"/>
              <w:tabs>
                <w:tab w:pos="827" w:val="left" w:leader="none"/>
              </w:tabs>
              <w:spacing w:line="232" w:lineRule="exact" w:before="0"/>
              <w:ind w:left="110"/>
              <w:jc w:val="left"/>
              <w:rPr>
                <w:rFonts w:ascii="Times New Roman"/>
                <w:b/>
                <w:sz w:val="22"/>
              </w:rPr>
            </w:pPr>
            <w:r>
              <w:rPr>
                <w:rFonts w:ascii="Times New Roman"/>
                <w:b/>
                <w:i/>
                <w:sz w:val="22"/>
              </w:rPr>
              <w:t>001</w:t>
              <w:tab/>
            </w:r>
            <w:r>
              <w:rPr>
                <w:rFonts w:ascii="Times New Roman"/>
                <w:b/>
                <w:sz w:val="22"/>
              </w:rPr>
              <w:t>00101</w:t>
            </w:r>
          </w:p>
        </w:tc>
        <w:tc>
          <w:tcPr>
            <w:tcW w:w="5556" w:type="dxa"/>
          </w:tcPr>
          <w:p>
            <w:pPr>
              <w:pStyle w:val="TableParagraph"/>
              <w:spacing w:line="232" w:lineRule="exact" w:before="0"/>
              <w:ind w:left="109"/>
              <w:jc w:val="left"/>
              <w:rPr>
                <w:rFonts w:ascii="Times New Roman" w:hAnsi="Times New Roman"/>
                <w:b/>
                <w:i/>
                <w:sz w:val="22"/>
              </w:rPr>
            </w:pPr>
            <w:r>
              <w:rPr>
                <w:rFonts w:ascii="Times New Roman" w:hAnsi="Times New Roman"/>
                <w:b/>
                <w:i/>
                <w:sz w:val="22"/>
              </w:rPr>
              <w:t>Gradsko vijeće, Ured Gradonačelnika</w:t>
            </w:r>
          </w:p>
        </w:tc>
        <w:tc>
          <w:tcPr>
            <w:tcW w:w="1560" w:type="dxa"/>
          </w:tcPr>
          <w:p>
            <w:pPr>
              <w:pStyle w:val="TableParagraph"/>
              <w:spacing w:line="232" w:lineRule="exact" w:before="0"/>
              <w:ind w:right="94"/>
              <w:rPr>
                <w:rFonts w:ascii="Times New Roman"/>
                <w:b/>
                <w:i/>
                <w:sz w:val="22"/>
              </w:rPr>
            </w:pPr>
            <w:r>
              <w:rPr>
                <w:rFonts w:ascii="Times New Roman"/>
                <w:b/>
                <w:i/>
                <w:sz w:val="22"/>
              </w:rPr>
              <w:t>296.000,00</w:t>
            </w:r>
          </w:p>
        </w:tc>
        <w:tc>
          <w:tcPr>
            <w:tcW w:w="1440" w:type="dxa"/>
          </w:tcPr>
          <w:p>
            <w:pPr>
              <w:pStyle w:val="TableParagraph"/>
              <w:spacing w:line="232" w:lineRule="exact" w:before="0"/>
              <w:ind w:right="94"/>
              <w:rPr>
                <w:rFonts w:ascii="Times New Roman"/>
                <w:b/>
                <w:i/>
                <w:sz w:val="22"/>
              </w:rPr>
            </w:pPr>
            <w:r>
              <w:rPr>
                <w:rFonts w:ascii="Times New Roman"/>
                <w:b/>
                <w:i/>
                <w:sz w:val="22"/>
              </w:rPr>
              <w:t>221.679,25</w:t>
            </w:r>
          </w:p>
        </w:tc>
        <w:tc>
          <w:tcPr>
            <w:tcW w:w="900" w:type="dxa"/>
          </w:tcPr>
          <w:p>
            <w:pPr>
              <w:pStyle w:val="TableParagraph"/>
              <w:spacing w:line="232" w:lineRule="exact" w:before="0"/>
              <w:ind w:right="94"/>
              <w:rPr>
                <w:rFonts w:ascii="Times New Roman"/>
                <w:b/>
                <w:i/>
                <w:sz w:val="22"/>
              </w:rPr>
            </w:pPr>
            <w:r>
              <w:rPr>
                <w:rFonts w:ascii="Times New Roman"/>
                <w:b/>
                <w:i/>
                <w:sz w:val="22"/>
              </w:rPr>
              <w:t>74,89</w:t>
            </w:r>
          </w:p>
        </w:tc>
      </w:tr>
      <w:tr>
        <w:trPr>
          <w:trHeight w:val="251" w:hRule="atLeast"/>
        </w:trPr>
        <w:tc>
          <w:tcPr>
            <w:tcW w:w="1534" w:type="dxa"/>
          </w:tcPr>
          <w:p>
            <w:pPr>
              <w:pStyle w:val="TableParagraph"/>
              <w:spacing w:line="232" w:lineRule="exact" w:before="0"/>
              <w:ind w:right="91"/>
              <w:rPr>
                <w:rFonts w:ascii="Times New Roman"/>
                <w:sz w:val="22"/>
              </w:rPr>
            </w:pPr>
            <w:r>
              <w:rPr>
                <w:rFonts w:ascii="Times New Roman"/>
                <w:sz w:val="22"/>
              </w:rPr>
              <w:t>1011</w:t>
            </w:r>
          </w:p>
        </w:tc>
        <w:tc>
          <w:tcPr>
            <w:tcW w:w="5556" w:type="dxa"/>
          </w:tcPr>
          <w:p>
            <w:pPr>
              <w:pStyle w:val="TableParagraph"/>
              <w:spacing w:line="232" w:lineRule="exact" w:before="0"/>
              <w:ind w:left="109"/>
              <w:jc w:val="left"/>
              <w:rPr>
                <w:rFonts w:ascii="Times New Roman" w:hAnsi="Times New Roman"/>
                <w:sz w:val="22"/>
              </w:rPr>
            </w:pPr>
            <w:r>
              <w:rPr>
                <w:rFonts w:ascii="Times New Roman" w:hAnsi="Times New Roman"/>
                <w:sz w:val="22"/>
              </w:rPr>
              <w:t>Redovna djelatnost Gradskog vijeća, Ureda grad.</w:t>
            </w:r>
          </w:p>
        </w:tc>
        <w:tc>
          <w:tcPr>
            <w:tcW w:w="1560" w:type="dxa"/>
          </w:tcPr>
          <w:p>
            <w:pPr>
              <w:pStyle w:val="TableParagraph"/>
              <w:spacing w:line="232" w:lineRule="exact" w:before="0"/>
              <w:ind w:right="94"/>
              <w:rPr>
                <w:rFonts w:ascii="Times New Roman"/>
                <w:i/>
                <w:sz w:val="22"/>
              </w:rPr>
            </w:pPr>
            <w:r>
              <w:rPr>
                <w:rFonts w:ascii="Times New Roman"/>
                <w:i/>
                <w:sz w:val="22"/>
              </w:rPr>
              <w:t>296.000,00</w:t>
            </w:r>
          </w:p>
        </w:tc>
        <w:tc>
          <w:tcPr>
            <w:tcW w:w="1440" w:type="dxa"/>
          </w:tcPr>
          <w:p>
            <w:pPr>
              <w:pStyle w:val="TableParagraph"/>
              <w:spacing w:line="232" w:lineRule="exact" w:before="0"/>
              <w:ind w:right="94"/>
              <w:rPr>
                <w:rFonts w:ascii="Times New Roman"/>
                <w:i/>
                <w:sz w:val="22"/>
              </w:rPr>
            </w:pPr>
            <w:r>
              <w:rPr>
                <w:rFonts w:ascii="Times New Roman"/>
                <w:i/>
                <w:sz w:val="22"/>
              </w:rPr>
              <w:t>221.679,25</w:t>
            </w:r>
          </w:p>
        </w:tc>
        <w:tc>
          <w:tcPr>
            <w:tcW w:w="900" w:type="dxa"/>
          </w:tcPr>
          <w:p>
            <w:pPr>
              <w:pStyle w:val="TableParagraph"/>
              <w:spacing w:line="232" w:lineRule="exact" w:before="0"/>
              <w:ind w:right="94"/>
              <w:rPr>
                <w:rFonts w:ascii="Times New Roman"/>
                <w:i/>
                <w:sz w:val="22"/>
              </w:rPr>
            </w:pPr>
            <w:r>
              <w:rPr>
                <w:rFonts w:ascii="Times New Roman"/>
                <w:i/>
                <w:sz w:val="22"/>
              </w:rPr>
              <w:t>74,89</w:t>
            </w:r>
          </w:p>
        </w:tc>
      </w:tr>
      <w:tr>
        <w:trPr>
          <w:trHeight w:val="254" w:hRule="atLeast"/>
        </w:trPr>
        <w:tc>
          <w:tcPr>
            <w:tcW w:w="1534" w:type="dxa"/>
          </w:tcPr>
          <w:p>
            <w:pPr>
              <w:pStyle w:val="TableParagraph"/>
              <w:spacing w:line="234" w:lineRule="exact" w:before="0"/>
              <w:ind w:left="110"/>
              <w:jc w:val="left"/>
              <w:rPr>
                <w:rFonts w:ascii="Times New Roman"/>
                <w:b/>
                <w:i/>
                <w:sz w:val="22"/>
              </w:rPr>
            </w:pPr>
            <w:r>
              <w:rPr>
                <w:rFonts w:ascii="Times New Roman"/>
                <w:b/>
                <w:i/>
                <w:sz w:val="22"/>
              </w:rPr>
              <w:t>002</w:t>
            </w:r>
          </w:p>
        </w:tc>
        <w:tc>
          <w:tcPr>
            <w:tcW w:w="5556" w:type="dxa"/>
          </w:tcPr>
          <w:p>
            <w:pPr>
              <w:pStyle w:val="TableParagraph"/>
              <w:spacing w:line="234" w:lineRule="exact" w:before="0"/>
              <w:ind w:left="109"/>
              <w:jc w:val="left"/>
              <w:rPr>
                <w:rFonts w:ascii="Times New Roman" w:hAnsi="Times New Roman"/>
                <w:b/>
                <w:i/>
                <w:sz w:val="22"/>
              </w:rPr>
            </w:pPr>
            <w:r>
              <w:rPr>
                <w:rFonts w:ascii="Times New Roman" w:hAnsi="Times New Roman"/>
                <w:b/>
                <w:i/>
                <w:sz w:val="22"/>
              </w:rPr>
              <w:t>UO za opće posl. i društ. djelatnosti</w:t>
            </w:r>
          </w:p>
        </w:tc>
        <w:tc>
          <w:tcPr>
            <w:tcW w:w="1560" w:type="dxa"/>
          </w:tcPr>
          <w:p>
            <w:pPr>
              <w:pStyle w:val="TableParagraph"/>
              <w:spacing w:line="234" w:lineRule="exact" w:before="0"/>
              <w:ind w:right="91"/>
              <w:rPr>
                <w:rFonts w:ascii="Times New Roman"/>
                <w:b/>
                <w:i/>
                <w:sz w:val="22"/>
              </w:rPr>
            </w:pPr>
            <w:r>
              <w:rPr>
                <w:rFonts w:ascii="Times New Roman"/>
                <w:b/>
                <w:i/>
                <w:sz w:val="22"/>
              </w:rPr>
              <w:t>5.463.952,96</w:t>
            </w:r>
          </w:p>
        </w:tc>
        <w:tc>
          <w:tcPr>
            <w:tcW w:w="1440" w:type="dxa"/>
          </w:tcPr>
          <w:p>
            <w:pPr>
              <w:pStyle w:val="TableParagraph"/>
              <w:spacing w:line="234" w:lineRule="exact" w:before="0"/>
              <w:ind w:right="94"/>
              <w:rPr>
                <w:rFonts w:ascii="Times New Roman"/>
                <w:b/>
                <w:i/>
                <w:sz w:val="22"/>
              </w:rPr>
            </w:pPr>
            <w:r>
              <w:rPr>
                <w:rFonts w:ascii="Times New Roman"/>
                <w:b/>
                <w:i/>
                <w:sz w:val="22"/>
              </w:rPr>
              <w:t>2.528.439,06</w:t>
            </w:r>
          </w:p>
        </w:tc>
        <w:tc>
          <w:tcPr>
            <w:tcW w:w="900" w:type="dxa"/>
          </w:tcPr>
          <w:p>
            <w:pPr>
              <w:pStyle w:val="TableParagraph"/>
              <w:spacing w:line="234" w:lineRule="exact" w:before="0"/>
              <w:ind w:right="94"/>
              <w:rPr>
                <w:rFonts w:ascii="Times New Roman"/>
                <w:b/>
                <w:i/>
                <w:sz w:val="22"/>
              </w:rPr>
            </w:pPr>
            <w:r>
              <w:rPr>
                <w:rFonts w:ascii="Times New Roman"/>
                <w:b/>
                <w:i/>
                <w:sz w:val="22"/>
              </w:rPr>
              <w:t>46,27</w:t>
            </w:r>
          </w:p>
        </w:tc>
      </w:tr>
      <w:tr>
        <w:trPr>
          <w:trHeight w:val="251" w:hRule="atLeast"/>
        </w:trPr>
        <w:tc>
          <w:tcPr>
            <w:tcW w:w="1534" w:type="dxa"/>
          </w:tcPr>
          <w:p>
            <w:pPr>
              <w:pStyle w:val="TableParagraph"/>
              <w:spacing w:line="232" w:lineRule="exact" w:before="0"/>
              <w:ind w:right="91"/>
              <w:rPr>
                <w:rFonts w:ascii="Times New Roman"/>
                <w:b/>
                <w:sz w:val="22"/>
              </w:rPr>
            </w:pPr>
            <w:r>
              <w:rPr>
                <w:rFonts w:ascii="Times New Roman"/>
                <w:b/>
                <w:sz w:val="22"/>
              </w:rPr>
              <w:t>00201</w:t>
            </w:r>
          </w:p>
        </w:tc>
        <w:tc>
          <w:tcPr>
            <w:tcW w:w="5556" w:type="dxa"/>
          </w:tcPr>
          <w:p>
            <w:pPr>
              <w:pStyle w:val="TableParagraph"/>
              <w:spacing w:line="232" w:lineRule="exact" w:before="0"/>
              <w:ind w:left="109"/>
              <w:jc w:val="left"/>
              <w:rPr>
                <w:rFonts w:ascii="Times New Roman" w:hAnsi="Times New Roman"/>
                <w:sz w:val="22"/>
              </w:rPr>
            </w:pPr>
            <w:r>
              <w:rPr>
                <w:rFonts w:ascii="Times New Roman" w:hAnsi="Times New Roman"/>
                <w:sz w:val="22"/>
              </w:rPr>
              <w:t>UO za opće posl. i društ. djelatnosti</w:t>
            </w:r>
          </w:p>
        </w:tc>
        <w:tc>
          <w:tcPr>
            <w:tcW w:w="1560" w:type="dxa"/>
          </w:tcPr>
          <w:p>
            <w:pPr>
              <w:pStyle w:val="TableParagraph"/>
              <w:spacing w:line="232" w:lineRule="exact" w:before="0"/>
              <w:ind w:right="94"/>
              <w:rPr>
                <w:rFonts w:ascii="Times New Roman"/>
                <w:b/>
                <w:sz w:val="22"/>
              </w:rPr>
            </w:pPr>
            <w:r>
              <w:rPr>
                <w:rFonts w:ascii="Times New Roman"/>
                <w:b/>
                <w:sz w:val="22"/>
              </w:rPr>
              <w:t>1.235.000,00</w:t>
            </w:r>
          </w:p>
        </w:tc>
        <w:tc>
          <w:tcPr>
            <w:tcW w:w="1440" w:type="dxa"/>
          </w:tcPr>
          <w:p>
            <w:pPr>
              <w:pStyle w:val="TableParagraph"/>
              <w:spacing w:line="232" w:lineRule="exact" w:before="0"/>
              <w:ind w:right="94"/>
              <w:rPr>
                <w:rFonts w:ascii="Times New Roman"/>
                <w:b/>
                <w:sz w:val="22"/>
              </w:rPr>
            </w:pPr>
            <w:r>
              <w:rPr>
                <w:rFonts w:ascii="Times New Roman"/>
                <w:b/>
                <w:sz w:val="22"/>
              </w:rPr>
              <w:t>682.123,23</w:t>
            </w:r>
          </w:p>
        </w:tc>
        <w:tc>
          <w:tcPr>
            <w:tcW w:w="900" w:type="dxa"/>
          </w:tcPr>
          <w:p>
            <w:pPr>
              <w:pStyle w:val="TableParagraph"/>
              <w:spacing w:line="232" w:lineRule="exact" w:before="0"/>
              <w:ind w:right="94"/>
              <w:rPr>
                <w:rFonts w:ascii="Times New Roman"/>
                <w:b/>
                <w:sz w:val="22"/>
              </w:rPr>
            </w:pPr>
            <w:r>
              <w:rPr>
                <w:rFonts w:ascii="Times New Roman"/>
                <w:b/>
                <w:sz w:val="22"/>
              </w:rPr>
              <w:t>55,23</w:t>
            </w:r>
          </w:p>
        </w:tc>
      </w:tr>
      <w:tr>
        <w:trPr>
          <w:trHeight w:val="253" w:hRule="atLeast"/>
        </w:trPr>
        <w:tc>
          <w:tcPr>
            <w:tcW w:w="1534" w:type="dxa"/>
          </w:tcPr>
          <w:p>
            <w:pPr>
              <w:pStyle w:val="TableParagraph"/>
              <w:spacing w:line="234" w:lineRule="exact" w:before="0"/>
              <w:ind w:right="91"/>
              <w:rPr>
                <w:rFonts w:ascii="Times New Roman"/>
                <w:sz w:val="22"/>
              </w:rPr>
            </w:pPr>
            <w:r>
              <w:rPr>
                <w:rFonts w:ascii="Times New Roman"/>
                <w:sz w:val="22"/>
              </w:rPr>
              <w:t>2016</w:t>
            </w:r>
          </w:p>
        </w:tc>
        <w:tc>
          <w:tcPr>
            <w:tcW w:w="5556" w:type="dxa"/>
          </w:tcPr>
          <w:p>
            <w:pPr>
              <w:pStyle w:val="TableParagraph"/>
              <w:spacing w:line="234" w:lineRule="exact" w:before="0"/>
              <w:ind w:left="109"/>
              <w:jc w:val="left"/>
              <w:rPr>
                <w:rFonts w:ascii="Times New Roman"/>
                <w:sz w:val="22"/>
              </w:rPr>
            </w:pPr>
            <w:r>
              <w:rPr>
                <w:rFonts w:ascii="Times New Roman"/>
                <w:sz w:val="22"/>
              </w:rPr>
              <w:t>Program javnih potreba u kulturi</w:t>
            </w:r>
          </w:p>
        </w:tc>
        <w:tc>
          <w:tcPr>
            <w:tcW w:w="1560" w:type="dxa"/>
          </w:tcPr>
          <w:p>
            <w:pPr>
              <w:pStyle w:val="TableParagraph"/>
              <w:spacing w:line="234" w:lineRule="exact" w:before="0"/>
              <w:ind w:right="94"/>
              <w:rPr>
                <w:rFonts w:ascii="Times New Roman"/>
                <w:sz w:val="22"/>
              </w:rPr>
            </w:pPr>
            <w:r>
              <w:rPr>
                <w:rFonts w:ascii="Times New Roman"/>
                <w:sz w:val="22"/>
              </w:rPr>
              <w:t>268.000,00</w:t>
            </w:r>
          </w:p>
        </w:tc>
        <w:tc>
          <w:tcPr>
            <w:tcW w:w="1440" w:type="dxa"/>
          </w:tcPr>
          <w:p>
            <w:pPr>
              <w:pStyle w:val="TableParagraph"/>
              <w:spacing w:line="234" w:lineRule="exact" w:before="0"/>
              <w:ind w:right="94"/>
              <w:rPr>
                <w:rFonts w:ascii="Times New Roman"/>
                <w:sz w:val="22"/>
              </w:rPr>
            </w:pPr>
            <w:r>
              <w:rPr>
                <w:rFonts w:ascii="Times New Roman"/>
                <w:sz w:val="22"/>
              </w:rPr>
              <w:t>149.900,00</w:t>
            </w:r>
          </w:p>
        </w:tc>
        <w:tc>
          <w:tcPr>
            <w:tcW w:w="900" w:type="dxa"/>
          </w:tcPr>
          <w:p>
            <w:pPr>
              <w:pStyle w:val="TableParagraph"/>
              <w:spacing w:line="234" w:lineRule="exact" w:before="0"/>
              <w:ind w:right="94"/>
              <w:rPr>
                <w:rFonts w:ascii="Times New Roman"/>
                <w:sz w:val="22"/>
              </w:rPr>
            </w:pPr>
            <w:r>
              <w:rPr>
                <w:rFonts w:ascii="Times New Roman"/>
                <w:sz w:val="22"/>
              </w:rPr>
              <w:t>55,93</w:t>
            </w:r>
          </w:p>
        </w:tc>
      </w:tr>
      <w:tr>
        <w:trPr>
          <w:trHeight w:val="251" w:hRule="atLeast"/>
        </w:trPr>
        <w:tc>
          <w:tcPr>
            <w:tcW w:w="1534" w:type="dxa"/>
          </w:tcPr>
          <w:p>
            <w:pPr>
              <w:pStyle w:val="TableParagraph"/>
              <w:spacing w:line="232" w:lineRule="exact" w:before="0"/>
              <w:ind w:right="91"/>
              <w:rPr>
                <w:rFonts w:ascii="Times New Roman"/>
                <w:sz w:val="22"/>
              </w:rPr>
            </w:pPr>
            <w:r>
              <w:rPr>
                <w:rFonts w:ascii="Times New Roman"/>
                <w:sz w:val="22"/>
              </w:rPr>
              <w:t>2017</w:t>
            </w:r>
          </w:p>
        </w:tc>
        <w:tc>
          <w:tcPr>
            <w:tcW w:w="5556" w:type="dxa"/>
          </w:tcPr>
          <w:p>
            <w:pPr>
              <w:pStyle w:val="TableParagraph"/>
              <w:spacing w:line="232" w:lineRule="exact" w:before="0"/>
              <w:ind w:left="109"/>
              <w:jc w:val="left"/>
              <w:rPr>
                <w:rFonts w:ascii="Times New Roman" w:hAnsi="Times New Roman"/>
                <w:sz w:val="22"/>
              </w:rPr>
            </w:pPr>
            <w:r>
              <w:rPr>
                <w:rFonts w:ascii="Times New Roman" w:hAnsi="Times New Roman"/>
                <w:sz w:val="22"/>
              </w:rPr>
              <w:t>Program javnih potreba u školstvu</w:t>
            </w:r>
          </w:p>
        </w:tc>
        <w:tc>
          <w:tcPr>
            <w:tcW w:w="1560" w:type="dxa"/>
          </w:tcPr>
          <w:p>
            <w:pPr>
              <w:pStyle w:val="TableParagraph"/>
              <w:spacing w:line="232" w:lineRule="exact" w:before="0"/>
              <w:ind w:right="94"/>
              <w:rPr>
                <w:rFonts w:ascii="Times New Roman"/>
                <w:sz w:val="22"/>
              </w:rPr>
            </w:pPr>
            <w:r>
              <w:rPr>
                <w:rFonts w:ascii="Times New Roman"/>
                <w:sz w:val="22"/>
              </w:rPr>
              <w:t>85.000,00</w:t>
            </w:r>
          </w:p>
        </w:tc>
        <w:tc>
          <w:tcPr>
            <w:tcW w:w="1440" w:type="dxa"/>
          </w:tcPr>
          <w:p>
            <w:pPr>
              <w:pStyle w:val="TableParagraph"/>
              <w:spacing w:line="232" w:lineRule="exact" w:before="0"/>
              <w:ind w:right="94"/>
              <w:rPr>
                <w:rFonts w:ascii="Times New Roman"/>
                <w:sz w:val="22"/>
              </w:rPr>
            </w:pPr>
            <w:r>
              <w:rPr>
                <w:rFonts w:ascii="Times New Roman"/>
                <w:sz w:val="22"/>
              </w:rPr>
              <w:t>36.968,00</w:t>
            </w:r>
          </w:p>
        </w:tc>
        <w:tc>
          <w:tcPr>
            <w:tcW w:w="900" w:type="dxa"/>
          </w:tcPr>
          <w:p>
            <w:pPr>
              <w:pStyle w:val="TableParagraph"/>
              <w:spacing w:line="232" w:lineRule="exact" w:before="0"/>
              <w:ind w:right="94"/>
              <w:rPr>
                <w:rFonts w:ascii="Times New Roman"/>
                <w:sz w:val="22"/>
              </w:rPr>
            </w:pPr>
            <w:r>
              <w:rPr>
                <w:rFonts w:ascii="Times New Roman"/>
                <w:sz w:val="22"/>
              </w:rPr>
              <w:t>43,49</w:t>
            </w:r>
          </w:p>
        </w:tc>
      </w:tr>
      <w:tr>
        <w:trPr>
          <w:trHeight w:val="253" w:hRule="atLeast"/>
        </w:trPr>
        <w:tc>
          <w:tcPr>
            <w:tcW w:w="1534" w:type="dxa"/>
          </w:tcPr>
          <w:p>
            <w:pPr>
              <w:pStyle w:val="TableParagraph"/>
              <w:spacing w:line="234" w:lineRule="exact" w:before="0"/>
              <w:ind w:right="91"/>
              <w:rPr>
                <w:rFonts w:ascii="Times New Roman"/>
                <w:sz w:val="22"/>
              </w:rPr>
            </w:pPr>
            <w:r>
              <w:rPr>
                <w:rFonts w:ascii="Times New Roman"/>
                <w:sz w:val="22"/>
              </w:rPr>
              <w:t>2018</w:t>
            </w:r>
          </w:p>
        </w:tc>
        <w:tc>
          <w:tcPr>
            <w:tcW w:w="5556" w:type="dxa"/>
          </w:tcPr>
          <w:p>
            <w:pPr>
              <w:pStyle w:val="TableParagraph"/>
              <w:spacing w:line="234" w:lineRule="exact" w:before="0"/>
              <w:ind w:left="109"/>
              <w:jc w:val="left"/>
              <w:rPr>
                <w:rFonts w:ascii="Times New Roman"/>
                <w:sz w:val="22"/>
              </w:rPr>
            </w:pPr>
            <w:r>
              <w:rPr>
                <w:rFonts w:ascii="Times New Roman"/>
                <w:sz w:val="22"/>
              </w:rPr>
              <w:t>Program socijalne skrbi</w:t>
            </w:r>
          </w:p>
        </w:tc>
        <w:tc>
          <w:tcPr>
            <w:tcW w:w="1560" w:type="dxa"/>
          </w:tcPr>
          <w:p>
            <w:pPr>
              <w:pStyle w:val="TableParagraph"/>
              <w:spacing w:line="234" w:lineRule="exact" w:before="0"/>
              <w:ind w:right="94"/>
              <w:rPr>
                <w:rFonts w:ascii="Times New Roman"/>
                <w:sz w:val="22"/>
              </w:rPr>
            </w:pPr>
            <w:r>
              <w:rPr>
                <w:rFonts w:ascii="Times New Roman"/>
                <w:sz w:val="22"/>
              </w:rPr>
              <w:t>508.000,00</w:t>
            </w:r>
          </w:p>
        </w:tc>
        <w:tc>
          <w:tcPr>
            <w:tcW w:w="1440" w:type="dxa"/>
          </w:tcPr>
          <w:p>
            <w:pPr>
              <w:pStyle w:val="TableParagraph"/>
              <w:spacing w:line="234" w:lineRule="exact" w:before="0"/>
              <w:ind w:right="94"/>
              <w:rPr>
                <w:rFonts w:ascii="Times New Roman"/>
                <w:sz w:val="22"/>
              </w:rPr>
            </w:pPr>
            <w:r>
              <w:rPr>
                <w:rFonts w:ascii="Times New Roman"/>
                <w:sz w:val="22"/>
              </w:rPr>
              <w:t>248.055,56</w:t>
            </w:r>
          </w:p>
        </w:tc>
        <w:tc>
          <w:tcPr>
            <w:tcW w:w="900" w:type="dxa"/>
          </w:tcPr>
          <w:p>
            <w:pPr>
              <w:pStyle w:val="TableParagraph"/>
              <w:spacing w:line="234" w:lineRule="exact" w:before="0"/>
              <w:ind w:right="94"/>
              <w:rPr>
                <w:rFonts w:ascii="Times New Roman"/>
                <w:sz w:val="22"/>
              </w:rPr>
            </w:pPr>
            <w:r>
              <w:rPr>
                <w:rFonts w:ascii="Times New Roman"/>
                <w:sz w:val="22"/>
              </w:rPr>
              <w:t>48,83</w:t>
            </w:r>
          </w:p>
        </w:tc>
      </w:tr>
      <w:tr>
        <w:trPr>
          <w:trHeight w:val="253" w:hRule="atLeast"/>
        </w:trPr>
        <w:tc>
          <w:tcPr>
            <w:tcW w:w="1534" w:type="dxa"/>
          </w:tcPr>
          <w:p>
            <w:pPr>
              <w:pStyle w:val="TableParagraph"/>
              <w:spacing w:line="234" w:lineRule="exact" w:before="0"/>
              <w:ind w:right="91"/>
              <w:rPr>
                <w:rFonts w:ascii="Times New Roman"/>
                <w:sz w:val="22"/>
              </w:rPr>
            </w:pPr>
            <w:r>
              <w:rPr>
                <w:rFonts w:ascii="Times New Roman"/>
                <w:sz w:val="22"/>
              </w:rPr>
              <w:t>2019</w:t>
            </w:r>
          </w:p>
        </w:tc>
        <w:tc>
          <w:tcPr>
            <w:tcW w:w="5556" w:type="dxa"/>
          </w:tcPr>
          <w:p>
            <w:pPr>
              <w:pStyle w:val="TableParagraph"/>
              <w:spacing w:line="234" w:lineRule="exact" w:before="0"/>
              <w:ind w:left="109"/>
              <w:jc w:val="left"/>
              <w:rPr>
                <w:rFonts w:ascii="Times New Roman" w:hAnsi="Times New Roman"/>
                <w:sz w:val="22"/>
              </w:rPr>
            </w:pPr>
            <w:r>
              <w:rPr>
                <w:rFonts w:ascii="Times New Roman" w:hAnsi="Times New Roman"/>
                <w:sz w:val="22"/>
              </w:rPr>
              <w:t>Program razvoja civilnog društva</w:t>
            </w:r>
          </w:p>
        </w:tc>
        <w:tc>
          <w:tcPr>
            <w:tcW w:w="1560" w:type="dxa"/>
          </w:tcPr>
          <w:p>
            <w:pPr>
              <w:pStyle w:val="TableParagraph"/>
              <w:spacing w:line="234" w:lineRule="exact" w:before="0"/>
              <w:ind w:right="94"/>
              <w:rPr>
                <w:rFonts w:ascii="Times New Roman"/>
                <w:sz w:val="22"/>
              </w:rPr>
            </w:pPr>
            <w:r>
              <w:rPr>
                <w:rFonts w:ascii="Times New Roman"/>
                <w:sz w:val="22"/>
              </w:rPr>
              <w:t>238.000,00</w:t>
            </w:r>
          </w:p>
        </w:tc>
        <w:tc>
          <w:tcPr>
            <w:tcW w:w="1440" w:type="dxa"/>
          </w:tcPr>
          <w:p>
            <w:pPr>
              <w:pStyle w:val="TableParagraph"/>
              <w:spacing w:line="234" w:lineRule="exact" w:before="0"/>
              <w:ind w:right="94"/>
              <w:rPr>
                <w:rFonts w:ascii="Times New Roman"/>
                <w:sz w:val="22"/>
              </w:rPr>
            </w:pPr>
            <w:r>
              <w:rPr>
                <w:rFonts w:ascii="Times New Roman"/>
                <w:sz w:val="22"/>
              </w:rPr>
              <w:t>181.199,67</w:t>
            </w:r>
          </w:p>
        </w:tc>
        <w:tc>
          <w:tcPr>
            <w:tcW w:w="900" w:type="dxa"/>
          </w:tcPr>
          <w:p>
            <w:pPr>
              <w:pStyle w:val="TableParagraph"/>
              <w:spacing w:line="234" w:lineRule="exact" w:before="0"/>
              <w:ind w:right="94"/>
              <w:rPr>
                <w:rFonts w:ascii="Times New Roman"/>
                <w:sz w:val="22"/>
              </w:rPr>
            </w:pPr>
            <w:r>
              <w:rPr>
                <w:rFonts w:ascii="Times New Roman"/>
                <w:sz w:val="22"/>
              </w:rPr>
              <w:t>76,13</w:t>
            </w:r>
          </w:p>
        </w:tc>
      </w:tr>
      <w:tr>
        <w:trPr>
          <w:trHeight w:val="251" w:hRule="atLeast"/>
        </w:trPr>
        <w:tc>
          <w:tcPr>
            <w:tcW w:w="1534" w:type="dxa"/>
          </w:tcPr>
          <w:p>
            <w:pPr>
              <w:pStyle w:val="TableParagraph"/>
              <w:spacing w:line="232" w:lineRule="exact" w:before="0"/>
              <w:ind w:right="91"/>
              <w:rPr>
                <w:rFonts w:ascii="Times New Roman"/>
                <w:sz w:val="22"/>
              </w:rPr>
            </w:pPr>
            <w:r>
              <w:rPr>
                <w:rFonts w:ascii="Times New Roman"/>
                <w:sz w:val="22"/>
              </w:rPr>
              <w:t>2020</w:t>
            </w:r>
          </w:p>
        </w:tc>
        <w:tc>
          <w:tcPr>
            <w:tcW w:w="5556" w:type="dxa"/>
          </w:tcPr>
          <w:p>
            <w:pPr>
              <w:pStyle w:val="TableParagraph"/>
              <w:spacing w:line="232" w:lineRule="exact" w:before="0"/>
              <w:ind w:left="109"/>
              <w:jc w:val="left"/>
              <w:rPr>
                <w:rFonts w:ascii="Times New Roman"/>
                <w:sz w:val="22"/>
              </w:rPr>
            </w:pPr>
            <w:r>
              <w:rPr>
                <w:rFonts w:ascii="Times New Roman"/>
                <w:sz w:val="22"/>
              </w:rPr>
              <w:t>Program javnih potreba u sportu</w:t>
            </w:r>
          </w:p>
        </w:tc>
        <w:tc>
          <w:tcPr>
            <w:tcW w:w="1560" w:type="dxa"/>
          </w:tcPr>
          <w:p>
            <w:pPr>
              <w:pStyle w:val="TableParagraph"/>
              <w:spacing w:line="232" w:lineRule="exact" w:before="0"/>
              <w:ind w:right="94"/>
              <w:rPr>
                <w:rFonts w:ascii="Times New Roman"/>
                <w:sz w:val="22"/>
              </w:rPr>
            </w:pPr>
            <w:r>
              <w:rPr>
                <w:rFonts w:ascii="Times New Roman"/>
                <w:sz w:val="22"/>
              </w:rPr>
              <w:t>136.000,00</w:t>
            </w:r>
          </w:p>
        </w:tc>
        <w:tc>
          <w:tcPr>
            <w:tcW w:w="1440" w:type="dxa"/>
          </w:tcPr>
          <w:p>
            <w:pPr>
              <w:pStyle w:val="TableParagraph"/>
              <w:spacing w:line="232" w:lineRule="exact" w:before="0"/>
              <w:ind w:right="94"/>
              <w:rPr>
                <w:rFonts w:ascii="Times New Roman"/>
                <w:sz w:val="22"/>
              </w:rPr>
            </w:pPr>
            <w:r>
              <w:rPr>
                <w:rFonts w:ascii="Times New Roman"/>
                <w:sz w:val="22"/>
              </w:rPr>
              <w:t>66.000,00</w:t>
            </w:r>
          </w:p>
        </w:tc>
        <w:tc>
          <w:tcPr>
            <w:tcW w:w="900" w:type="dxa"/>
          </w:tcPr>
          <w:p>
            <w:pPr>
              <w:pStyle w:val="TableParagraph"/>
              <w:spacing w:line="232" w:lineRule="exact" w:before="0"/>
              <w:ind w:right="94"/>
              <w:rPr>
                <w:rFonts w:ascii="Times New Roman"/>
                <w:sz w:val="22"/>
              </w:rPr>
            </w:pPr>
            <w:r>
              <w:rPr>
                <w:rFonts w:ascii="Times New Roman"/>
                <w:sz w:val="22"/>
              </w:rPr>
              <w:t>48,53</w:t>
            </w:r>
          </w:p>
        </w:tc>
      </w:tr>
      <w:tr>
        <w:trPr>
          <w:trHeight w:val="506" w:hRule="atLeast"/>
        </w:trPr>
        <w:tc>
          <w:tcPr>
            <w:tcW w:w="1534" w:type="dxa"/>
          </w:tcPr>
          <w:p>
            <w:pPr>
              <w:pStyle w:val="TableParagraph"/>
              <w:spacing w:line="250" w:lineRule="exact" w:before="0"/>
              <w:ind w:right="144"/>
              <w:rPr>
                <w:rFonts w:ascii="Times New Roman"/>
                <w:b/>
                <w:sz w:val="22"/>
              </w:rPr>
            </w:pPr>
            <w:r>
              <w:rPr>
                <w:rFonts w:ascii="Times New Roman"/>
                <w:b/>
                <w:sz w:val="22"/>
              </w:rPr>
              <w:t>00202</w:t>
            </w:r>
          </w:p>
          <w:p>
            <w:pPr>
              <w:pStyle w:val="TableParagraph"/>
              <w:spacing w:line="236" w:lineRule="exact" w:before="0"/>
              <w:ind w:right="91"/>
              <w:rPr>
                <w:rFonts w:ascii="Times New Roman"/>
                <w:sz w:val="22"/>
              </w:rPr>
            </w:pPr>
            <w:r>
              <w:rPr>
                <w:rFonts w:ascii="Times New Roman"/>
                <w:sz w:val="22"/>
              </w:rPr>
              <w:t>2013</w:t>
            </w:r>
          </w:p>
        </w:tc>
        <w:tc>
          <w:tcPr>
            <w:tcW w:w="5556" w:type="dxa"/>
          </w:tcPr>
          <w:p>
            <w:pPr>
              <w:pStyle w:val="TableParagraph"/>
              <w:spacing w:line="247" w:lineRule="exact" w:before="0"/>
              <w:ind w:left="109"/>
              <w:jc w:val="left"/>
              <w:rPr>
                <w:rFonts w:ascii="Times New Roman" w:hAnsi="Times New Roman"/>
                <w:sz w:val="22"/>
              </w:rPr>
            </w:pPr>
            <w:r>
              <w:rPr>
                <w:rFonts w:ascii="Times New Roman" w:hAnsi="Times New Roman"/>
                <w:sz w:val="22"/>
              </w:rPr>
              <w:t>Proračunski korisnik:POU Katarina Zrinska</w:t>
            </w:r>
          </w:p>
          <w:p>
            <w:pPr>
              <w:pStyle w:val="TableParagraph"/>
              <w:spacing w:line="238" w:lineRule="exact" w:before="1"/>
              <w:ind w:left="109"/>
              <w:jc w:val="left"/>
              <w:rPr>
                <w:rFonts w:ascii="Times New Roman"/>
                <w:sz w:val="22"/>
              </w:rPr>
            </w:pPr>
            <w:r>
              <w:rPr>
                <w:rFonts w:ascii="Times New Roman"/>
                <w:sz w:val="22"/>
              </w:rPr>
              <w:t>Poslovanje POU Katarina Zrinska</w:t>
            </w:r>
          </w:p>
        </w:tc>
        <w:tc>
          <w:tcPr>
            <w:tcW w:w="1560" w:type="dxa"/>
          </w:tcPr>
          <w:p>
            <w:pPr>
              <w:pStyle w:val="TableParagraph"/>
              <w:spacing w:before="11"/>
              <w:jc w:val="left"/>
              <w:rPr>
                <w:rFonts w:ascii="Times New Roman"/>
                <w:sz w:val="21"/>
              </w:rPr>
            </w:pPr>
          </w:p>
          <w:p>
            <w:pPr>
              <w:pStyle w:val="TableParagraph"/>
              <w:spacing w:line="233" w:lineRule="exact" w:before="0"/>
              <w:ind w:right="94"/>
              <w:rPr>
                <w:rFonts w:ascii="Times New Roman"/>
                <w:b/>
                <w:sz w:val="22"/>
              </w:rPr>
            </w:pPr>
            <w:r>
              <w:rPr>
                <w:rFonts w:ascii="Times New Roman"/>
                <w:b/>
                <w:sz w:val="22"/>
              </w:rPr>
              <w:t>28.952,96</w:t>
            </w:r>
          </w:p>
        </w:tc>
        <w:tc>
          <w:tcPr>
            <w:tcW w:w="1440" w:type="dxa"/>
          </w:tcPr>
          <w:p>
            <w:pPr>
              <w:pStyle w:val="TableParagraph"/>
              <w:spacing w:before="11"/>
              <w:jc w:val="left"/>
              <w:rPr>
                <w:rFonts w:ascii="Times New Roman"/>
                <w:sz w:val="21"/>
              </w:rPr>
            </w:pPr>
          </w:p>
          <w:p>
            <w:pPr>
              <w:pStyle w:val="TableParagraph"/>
              <w:spacing w:line="233" w:lineRule="exact" w:before="0"/>
              <w:ind w:right="94"/>
              <w:rPr>
                <w:rFonts w:ascii="Times New Roman"/>
                <w:b/>
                <w:sz w:val="22"/>
              </w:rPr>
            </w:pPr>
            <w:r>
              <w:rPr>
                <w:rFonts w:ascii="Times New Roman"/>
                <w:b/>
                <w:sz w:val="22"/>
              </w:rPr>
              <w:t>3.178,59</w:t>
            </w:r>
          </w:p>
        </w:tc>
        <w:tc>
          <w:tcPr>
            <w:tcW w:w="900" w:type="dxa"/>
          </w:tcPr>
          <w:p>
            <w:pPr>
              <w:pStyle w:val="TableParagraph"/>
              <w:spacing w:before="11"/>
              <w:jc w:val="left"/>
              <w:rPr>
                <w:rFonts w:ascii="Times New Roman"/>
                <w:sz w:val="21"/>
              </w:rPr>
            </w:pPr>
          </w:p>
          <w:p>
            <w:pPr>
              <w:pStyle w:val="TableParagraph"/>
              <w:spacing w:line="233" w:lineRule="exact" w:before="0"/>
              <w:ind w:right="94"/>
              <w:rPr>
                <w:rFonts w:ascii="Times New Roman"/>
                <w:b/>
                <w:sz w:val="22"/>
              </w:rPr>
            </w:pPr>
            <w:r>
              <w:rPr>
                <w:rFonts w:ascii="Times New Roman"/>
                <w:b/>
                <w:sz w:val="22"/>
              </w:rPr>
              <w:t>10,98</w:t>
            </w:r>
          </w:p>
        </w:tc>
      </w:tr>
      <w:tr>
        <w:trPr>
          <w:trHeight w:val="506" w:hRule="atLeast"/>
        </w:trPr>
        <w:tc>
          <w:tcPr>
            <w:tcW w:w="1534" w:type="dxa"/>
          </w:tcPr>
          <w:p>
            <w:pPr>
              <w:pStyle w:val="TableParagraph"/>
              <w:spacing w:line="250" w:lineRule="exact" w:before="0"/>
              <w:ind w:right="144"/>
              <w:rPr>
                <w:rFonts w:ascii="Times New Roman"/>
                <w:b/>
                <w:sz w:val="22"/>
              </w:rPr>
            </w:pPr>
            <w:r>
              <w:rPr>
                <w:rFonts w:ascii="Times New Roman"/>
                <w:b/>
                <w:sz w:val="22"/>
              </w:rPr>
              <w:t>00203</w:t>
            </w:r>
          </w:p>
          <w:p>
            <w:pPr>
              <w:pStyle w:val="TableParagraph"/>
              <w:spacing w:line="236" w:lineRule="exact" w:before="0"/>
              <w:ind w:right="91"/>
              <w:rPr>
                <w:rFonts w:ascii="Times New Roman"/>
                <w:sz w:val="22"/>
              </w:rPr>
            </w:pPr>
            <w:r>
              <w:rPr>
                <w:rFonts w:ascii="Times New Roman"/>
                <w:sz w:val="22"/>
              </w:rPr>
              <w:t>2013</w:t>
            </w:r>
          </w:p>
        </w:tc>
        <w:tc>
          <w:tcPr>
            <w:tcW w:w="5556" w:type="dxa"/>
          </w:tcPr>
          <w:p>
            <w:pPr>
              <w:pStyle w:val="TableParagraph"/>
              <w:spacing w:line="247" w:lineRule="exact" w:before="0"/>
              <w:ind w:left="109"/>
              <w:jc w:val="left"/>
              <w:rPr>
                <w:rFonts w:ascii="Times New Roman" w:hAnsi="Times New Roman"/>
                <w:sz w:val="22"/>
              </w:rPr>
            </w:pPr>
            <w:r>
              <w:rPr>
                <w:rFonts w:ascii="Times New Roman" w:hAnsi="Times New Roman"/>
                <w:sz w:val="22"/>
              </w:rPr>
              <w:t>Proračunski korisnik:Gradska knjižnica i čitaonica I. B.</w:t>
            </w:r>
          </w:p>
          <w:p>
            <w:pPr>
              <w:pStyle w:val="TableParagraph"/>
              <w:spacing w:line="238" w:lineRule="exact" w:before="1"/>
              <w:ind w:left="109"/>
              <w:jc w:val="left"/>
              <w:rPr>
                <w:rFonts w:ascii="Times New Roman" w:hAnsi="Times New Roman"/>
                <w:sz w:val="22"/>
              </w:rPr>
            </w:pPr>
            <w:r>
              <w:rPr>
                <w:rFonts w:ascii="Times New Roman" w:hAnsi="Times New Roman"/>
                <w:sz w:val="22"/>
              </w:rPr>
              <w:t>Poslovanje Gradske knjiž. i čitaonice I.Belostenca</w:t>
            </w:r>
          </w:p>
        </w:tc>
        <w:tc>
          <w:tcPr>
            <w:tcW w:w="1560" w:type="dxa"/>
          </w:tcPr>
          <w:p>
            <w:pPr>
              <w:pStyle w:val="TableParagraph"/>
              <w:spacing w:before="11"/>
              <w:jc w:val="left"/>
              <w:rPr>
                <w:rFonts w:ascii="Times New Roman"/>
                <w:sz w:val="21"/>
              </w:rPr>
            </w:pPr>
          </w:p>
          <w:p>
            <w:pPr>
              <w:pStyle w:val="TableParagraph"/>
              <w:spacing w:line="233" w:lineRule="exact" w:before="0"/>
              <w:ind w:right="94"/>
              <w:rPr>
                <w:rFonts w:ascii="Times New Roman"/>
                <w:b/>
                <w:sz w:val="22"/>
              </w:rPr>
            </w:pPr>
            <w:r>
              <w:rPr>
                <w:rFonts w:ascii="Times New Roman"/>
                <w:b/>
                <w:sz w:val="22"/>
              </w:rPr>
              <w:t>505.000,00</w:t>
            </w:r>
          </w:p>
        </w:tc>
        <w:tc>
          <w:tcPr>
            <w:tcW w:w="1440" w:type="dxa"/>
          </w:tcPr>
          <w:p>
            <w:pPr>
              <w:pStyle w:val="TableParagraph"/>
              <w:spacing w:before="11"/>
              <w:jc w:val="left"/>
              <w:rPr>
                <w:rFonts w:ascii="Times New Roman"/>
                <w:sz w:val="21"/>
              </w:rPr>
            </w:pPr>
          </w:p>
          <w:p>
            <w:pPr>
              <w:pStyle w:val="TableParagraph"/>
              <w:spacing w:line="233" w:lineRule="exact" w:before="0"/>
              <w:ind w:right="91"/>
              <w:rPr>
                <w:rFonts w:ascii="Times New Roman"/>
                <w:b/>
                <w:sz w:val="22"/>
              </w:rPr>
            </w:pPr>
            <w:r>
              <w:rPr>
                <w:rFonts w:ascii="Times New Roman"/>
                <w:b/>
                <w:sz w:val="22"/>
              </w:rPr>
              <w:t>229.870,38</w:t>
            </w:r>
          </w:p>
        </w:tc>
        <w:tc>
          <w:tcPr>
            <w:tcW w:w="900" w:type="dxa"/>
          </w:tcPr>
          <w:p>
            <w:pPr>
              <w:pStyle w:val="TableParagraph"/>
              <w:spacing w:before="11"/>
              <w:jc w:val="left"/>
              <w:rPr>
                <w:rFonts w:ascii="Times New Roman"/>
                <w:sz w:val="21"/>
              </w:rPr>
            </w:pPr>
          </w:p>
          <w:p>
            <w:pPr>
              <w:pStyle w:val="TableParagraph"/>
              <w:spacing w:line="233" w:lineRule="exact" w:before="0"/>
              <w:ind w:right="94"/>
              <w:rPr>
                <w:rFonts w:ascii="Times New Roman"/>
                <w:b/>
                <w:sz w:val="22"/>
              </w:rPr>
            </w:pPr>
            <w:r>
              <w:rPr>
                <w:rFonts w:ascii="Times New Roman"/>
                <w:b/>
                <w:sz w:val="22"/>
              </w:rPr>
              <w:t>45,52</w:t>
            </w:r>
          </w:p>
        </w:tc>
      </w:tr>
      <w:tr>
        <w:trPr>
          <w:trHeight w:val="506" w:hRule="atLeast"/>
        </w:trPr>
        <w:tc>
          <w:tcPr>
            <w:tcW w:w="1534" w:type="dxa"/>
          </w:tcPr>
          <w:p>
            <w:pPr>
              <w:pStyle w:val="TableParagraph"/>
              <w:spacing w:line="250" w:lineRule="exact" w:before="0"/>
              <w:ind w:right="144"/>
              <w:rPr>
                <w:rFonts w:ascii="Times New Roman"/>
                <w:b/>
                <w:sz w:val="22"/>
              </w:rPr>
            </w:pPr>
            <w:r>
              <w:rPr>
                <w:rFonts w:ascii="Times New Roman"/>
                <w:b/>
                <w:sz w:val="22"/>
              </w:rPr>
              <w:t>00204</w:t>
            </w:r>
          </w:p>
          <w:p>
            <w:pPr>
              <w:pStyle w:val="TableParagraph"/>
              <w:spacing w:line="236" w:lineRule="exact" w:before="0"/>
              <w:ind w:right="91"/>
              <w:rPr>
                <w:rFonts w:ascii="Times New Roman"/>
                <w:sz w:val="22"/>
              </w:rPr>
            </w:pPr>
            <w:r>
              <w:rPr>
                <w:rFonts w:ascii="Times New Roman"/>
                <w:sz w:val="22"/>
              </w:rPr>
              <w:t>2014</w:t>
            </w:r>
          </w:p>
        </w:tc>
        <w:tc>
          <w:tcPr>
            <w:tcW w:w="5556" w:type="dxa"/>
          </w:tcPr>
          <w:p>
            <w:pPr>
              <w:pStyle w:val="TableParagraph"/>
              <w:spacing w:line="247" w:lineRule="exact" w:before="0"/>
              <w:ind w:left="109"/>
              <w:jc w:val="left"/>
              <w:rPr>
                <w:rFonts w:ascii="Times New Roman" w:hAnsi="Times New Roman"/>
                <w:sz w:val="22"/>
              </w:rPr>
            </w:pPr>
            <w:r>
              <w:rPr>
                <w:rFonts w:ascii="Times New Roman" w:hAnsi="Times New Roman"/>
                <w:sz w:val="22"/>
              </w:rPr>
              <w:t>Proračunski korisnik:Zavičajni muzej Ozalj</w:t>
            </w:r>
          </w:p>
          <w:p>
            <w:pPr>
              <w:pStyle w:val="TableParagraph"/>
              <w:spacing w:line="238" w:lineRule="exact" w:before="1"/>
              <w:ind w:left="109"/>
              <w:jc w:val="left"/>
              <w:rPr>
                <w:rFonts w:ascii="Times New Roman" w:hAnsi="Times New Roman"/>
                <w:sz w:val="22"/>
              </w:rPr>
            </w:pPr>
            <w:r>
              <w:rPr>
                <w:rFonts w:ascii="Times New Roman" w:hAnsi="Times New Roman"/>
                <w:sz w:val="22"/>
              </w:rPr>
              <w:t>Poslovanje Zavičajnog muzeja Ozalj</w:t>
            </w:r>
          </w:p>
        </w:tc>
        <w:tc>
          <w:tcPr>
            <w:tcW w:w="1560" w:type="dxa"/>
          </w:tcPr>
          <w:p>
            <w:pPr>
              <w:pStyle w:val="TableParagraph"/>
              <w:spacing w:before="11"/>
              <w:jc w:val="left"/>
              <w:rPr>
                <w:rFonts w:ascii="Times New Roman"/>
                <w:sz w:val="21"/>
              </w:rPr>
            </w:pPr>
          </w:p>
          <w:p>
            <w:pPr>
              <w:pStyle w:val="TableParagraph"/>
              <w:spacing w:line="233" w:lineRule="exact" w:before="0"/>
              <w:ind w:right="94"/>
              <w:rPr>
                <w:rFonts w:ascii="Times New Roman"/>
                <w:b/>
                <w:sz w:val="22"/>
              </w:rPr>
            </w:pPr>
            <w:r>
              <w:rPr>
                <w:rFonts w:ascii="Times New Roman"/>
                <w:b/>
                <w:sz w:val="22"/>
              </w:rPr>
              <w:t>855.000,00</w:t>
            </w:r>
          </w:p>
        </w:tc>
        <w:tc>
          <w:tcPr>
            <w:tcW w:w="1440" w:type="dxa"/>
          </w:tcPr>
          <w:p>
            <w:pPr>
              <w:pStyle w:val="TableParagraph"/>
              <w:spacing w:before="11"/>
              <w:jc w:val="left"/>
              <w:rPr>
                <w:rFonts w:ascii="Times New Roman"/>
                <w:sz w:val="21"/>
              </w:rPr>
            </w:pPr>
          </w:p>
          <w:p>
            <w:pPr>
              <w:pStyle w:val="TableParagraph"/>
              <w:spacing w:line="233" w:lineRule="exact" w:before="0"/>
              <w:ind w:right="94"/>
              <w:rPr>
                <w:rFonts w:ascii="Times New Roman"/>
                <w:b/>
                <w:sz w:val="22"/>
              </w:rPr>
            </w:pPr>
            <w:r>
              <w:rPr>
                <w:rFonts w:ascii="Times New Roman"/>
                <w:b/>
                <w:sz w:val="22"/>
              </w:rPr>
              <w:t>204.577,12</w:t>
            </w:r>
          </w:p>
        </w:tc>
        <w:tc>
          <w:tcPr>
            <w:tcW w:w="900" w:type="dxa"/>
          </w:tcPr>
          <w:p>
            <w:pPr>
              <w:pStyle w:val="TableParagraph"/>
              <w:spacing w:before="11"/>
              <w:jc w:val="left"/>
              <w:rPr>
                <w:rFonts w:ascii="Times New Roman"/>
                <w:sz w:val="21"/>
              </w:rPr>
            </w:pPr>
          </w:p>
          <w:p>
            <w:pPr>
              <w:pStyle w:val="TableParagraph"/>
              <w:spacing w:line="233" w:lineRule="exact" w:before="0"/>
              <w:ind w:right="94"/>
              <w:rPr>
                <w:rFonts w:ascii="Times New Roman"/>
                <w:b/>
                <w:sz w:val="22"/>
              </w:rPr>
            </w:pPr>
            <w:r>
              <w:rPr>
                <w:rFonts w:ascii="Times New Roman"/>
                <w:b/>
                <w:sz w:val="22"/>
              </w:rPr>
              <w:t>23,93</w:t>
            </w:r>
          </w:p>
        </w:tc>
      </w:tr>
      <w:tr>
        <w:trPr>
          <w:trHeight w:val="505" w:hRule="atLeast"/>
        </w:trPr>
        <w:tc>
          <w:tcPr>
            <w:tcW w:w="1534" w:type="dxa"/>
          </w:tcPr>
          <w:p>
            <w:pPr>
              <w:pStyle w:val="TableParagraph"/>
              <w:spacing w:line="250" w:lineRule="exact" w:before="0"/>
              <w:ind w:right="144"/>
              <w:rPr>
                <w:rFonts w:ascii="Times New Roman"/>
                <w:b/>
                <w:sz w:val="22"/>
              </w:rPr>
            </w:pPr>
            <w:r>
              <w:rPr>
                <w:rFonts w:ascii="Times New Roman"/>
                <w:b/>
                <w:sz w:val="22"/>
              </w:rPr>
              <w:t>00205</w:t>
            </w:r>
          </w:p>
          <w:p>
            <w:pPr>
              <w:pStyle w:val="TableParagraph"/>
              <w:spacing w:line="236" w:lineRule="exact" w:before="0"/>
              <w:ind w:right="91"/>
              <w:rPr>
                <w:rFonts w:ascii="Times New Roman"/>
                <w:sz w:val="22"/>
              </w:rPr>
            </w:pPr>
            <w:r>
              <w:rPr>
                <w:rFonts w:ascii="Times New Roman"/>
                <w:sz w:val="22"/>
              </w:rPr>
              <w:t>2015</w:t>
            </w:r>
          </w:p>
        </w:tc>
        <w:tc>
          <w:tcPr>
            <w:tcW w:w="5556" w:type="dxa"/>
          </w:tcPr>
          <w:p>
            <w:pPr>
              <w:pStyle w:val="TableParagraph"/>
              <w:spacing w:line="247" w:lineRule="exact" w:before="0"/>
              <w:ind w:left="109"/>
              <w:jc w:val="left"/>
              <w:rPr>
                <w:rFonts w:ascii="Times New Roman" w:hAnsi="Times New Roman"/>
                <w:sz w:val="22"/>
              </w:rPr>
            </w:pPr>
            <w:r>
              <w:rPr>
                <w:rFonts w:ascii="Times New Roman" w:hAnsi="Times New Roman"/>
                <w:sz w:val="22"/>
              </w:rPr>
              <w:t>Proračunski korisnik:Dječji vrtić Zvončić</w:t>
            </w:r>
          </w:p>
          <w:p>
            <w:pPr>
              <w:pStyle w:val="TableParagraph"/>
              <w:spacing w:line="238" w:lineRule="exact" w:before="1"/>
              <w:ind w:left="109"/>
              <w:jc w:val="left"/>
              <w:rPr>
                <w:rFonts w:ascii="Times New Roman" w:hAnsi="Times New Roman"/>
                <w:sz w:val="22"/>
              </w:rPr>
            </w:pPr>
            <w:r>
              <w:rPr>
                <w:rFonts w:ascii="Times New Roman" w:hAnsi="Times New Roman"/>
                <w:sz w:val="22"/>
              </w:rPr>
              <w:t>Poslovanje Dječjeg vrtića Zvončić</w:t>
            </w:r>
          </w:p>
        </w:tc>
        <w:tc>
          <w:tcPr>
            <w:tcW w:w="1560" w:type="dxa"/>
          </w:tcPr>
          <w:p>
            <w:pPr>
              <w:pStyle w:val="TableParagraph"/>
              <w:spacing w:before="11"/>
              <w:jc w:val="left"/>
              <w:rPr>
                <w:rFonts w:ascii="Times New Roman"/>
                <w:sz w:val="21"/>
              </w:rPr>
            </w:pPr>
          </w:p>
          <w:p>
            <w:pPr>
              <w:pStyle w:val="TableParagraph"/>
              <w:spacing w:line="233" w:lineRule="exact" w:before="0"/>
              <w:ind w:right="91"/>
              <w:rPr>
                <w:rFonts w:ascii="Times New Roman"/>
                <w:b/>
                <w:sz w:val="22"/>
              </w:rPr>
            </w:pPr>
            <w:r>
              <w:rPr>
                <w:rFonts w:ascii="Times New Roman"/>
                <w:b/>
                <w:sz w:val="22"/>
              </w:rPr>
              <w:t>2.840.000,00</w:t>
            </w:r>
          </w:p>
        </w:tc>
        <w:tc>
          <w:tcPr>
            <w:tcW w:w="1440" w:type="dxa"/>
          </w:tcPr>
          <w:p>
            <w:pPr>
              <w:pStyle w:val="TableParagraph"/>
              <w:spacing w:before="11"/>
              <w:jc w:val="left"/>
              <w:rPr>
                <w:rFonts w:ascii="Times New Roman"/>
                <w:sz w:val="21"/>
              </w:rPr>
            </w:pPr>
          </w:p>
          <w:p>
            <w:pPr>
              <w:pStyle w:val="TableParagraph"/>
              <w:spacing w:line="233" w:lineRule="exact" w:before="0"/>
              <w:ind w:right="94"/>
              <w:rPr>
                <w:rFonts w:ascii="Times New Roman"/>
                <w:b/>
                <w:sz w:val="22"/>
              </w:rPr>
            </w:pPr>
            <w:r>
              <w:rPr>
                <w:rFonts w:ascii="Times New Roman"/>
                <w:b/>
                <w:sz w:val="22"/>
              </w:rPr>
              <w:t>1.408.689,74</w:t>
            </w:r>
          </w:p>
        </w:tc>
        <w:tc>
          <w:tcPr>
            <w:tcW w:w="900" w:type="dxa"/>
          </w:tcPr>
          <w:p>
            <w:pPr>
              <w:pStyle w:val="TableParagraph"/>
              <w:spacing w:before="11"/>
              <w:jc w:val="left"/>
              <w:rPr>
                <w:rFonts w:ascii="Times New Roman"/>
                <w:sz w:val="21"/>
              </w:rPr>
            </w:pPr>
          </w:p>
          <w:p>
            <w:pPr>
              <w:pStyle w:val="TableParagraph"/>
              <w:spacing w:line="233" w:lineRule="exact" w:before="0"/>
              <w:ind w:right="94"/>
              <w:rPr>
                <w:rFonts w:ascii="Times New Roman"/>
                <w:b/>
                <w:sz w:val="22"/>
              </w:rPr>
            </w:pPr>
            <w:r>
              <w:rPr>
                <w:rFonts w:ascii="Times New Roman"/>
                <w:b/>
                <w:sz w:val="22"/>
              </w:rPr>
              <w:t>49,60</w:t>
            </w:r>
          </w:p>
        </w:tc>
      </w:tr>
      <w:tr>
        <w:trPr>
          <w:trHeight w:val="253" w:hRule="atLeast"/>
        </w:trPr>
        <w:tc>
          <w:tcPr>
            <w:tcW w:w="1534" w:type="dxa"/>
          </w:tcPr>
          <w:p>
            <w:pPr>
              <w:pStyle w:val="TableParagraph"/>
              <w:tabs>
                <w:tab w:pos="827" w:val="left" w:leader="none"/>
              </w:tabs>
              <w:spacing w:line="234" w:lineRule="exact" w:before="0"/>
              <w:ind w:left="110"/>
              <w:jc w:val="left"/>
              <w:rPr>
                <w:rFonts w:ascii="Times New Roman"/>
                <w:b/>
                <w:sz w:val="22"/>
              </w:rPr>
            </w:pPr>
            <w:r>
              <w:rPr>
                <w:rFonts w:ascii="Times New Roman"/>
                <w:b/>
                <w:i/>
                <w:sz w:val="22"/>
              </w:rPr>
              <w:t>003</w:t>
              <w:tab/>
            </w:r>
            <w:r>
              <w:rPr>
                <w:rFonts w:ascii="Times New Roman"/>
                <w:b/>
                <w:sz w:val="22"/>
              </w:rPr>
              <w:t>00301</w:t>
            </w:r>
          </w:p>
        </w:tc>
        <w:tc>
          <w:tcPr>
            <w:tcW w:w="5556" w:type="dxa"/>
          </w:tcPr>
          <w:p>
            <w:pPr>
              <w:pStyle w:val="TableParagraph"/>
              <w:spacing w:line="234" w:lineRule="exact" w:before="0"/>
              <w:ind w:left="109"/>
              <w:jc w:val="left"/>
              <w:rPr>
                <w:rFonts w:ascii="Times New Roman"/>
                <w:b/>
                <w:i/>
                <w:sz w:val="22"/>
              </w:rPr>
            </w:pPr>
            <w:r>
              <w:rPr>
                <w:rFonts w:ascii="Times New Roman"/>
                <w:b/>
                <w:i/>
                <w:sz w:val="22"/>
              </w:rPr>
              <w:t>UO za financije i gospodarstvo</w:t>
            </w:r>
          </w:p>
        </w:tc>
        <w:tc>
          <w:tcPr>
            <w:tcW w:w="1560" w:type="dxa"/>
          </w:tcPr>
          <w:p>
            <w:pPr>
              <w:pStyle w:val="TableParagraph"/>
              <w:spacing w:line="234" w:lineRule="exact" w:before="0"/>
              <w:ind w:right="94"/>
              <w:rPr>
                <w:rFonts w:ascii="Times New Roman"/>
                <w:b/>
                <w:i/>
                <w:sz w:val="22"/>
              </w:rPr>
            </w:pPr>
            <w:r>
              <w:rPr>
                <w:rFonts w:ascii="Times New Roman"/>
                <w:b/>
                <w:i/>
                <w:sz w:val="22"/>
              </w:rPr>
              <w:t>4.304.707,91</w:t>
            </w:r>
          </w:p>
        </w:tc>
        <w:tc>
          <w:tcPr>
            <w:tcW w:w="1440" w:type="dxa"/>
          </w:tcPr>
          <w:p>
            <w:pPr>
              <w:pStyle w:val="TableParagraph"/>
              <w:spacing w:line="234" w:lineRule="exact" w:before="0"/>
              <w:ind w:right="94"/>
              <w:rPr>
                <w:rFonts w:ascii="Times New Roman"/>
                <w:b/>
                <w:i/>
                <w:sz w:val="22"/>
              </w:rPr>
            </w:pPr>
            <w:r>
              <w:rPr>
                <w:rFonts w:ascii="Times New Roman"/>
                <w:b/>
                <w:i/>
                <w:sz w:val="22"/>
              </w:rPr>
              <w:t>1.813.153,11</w:t>
            </w:r>
          </w:p>
        </w:tc>
        <w:tc>
          <w:tcPr>
            <w:tcW w:w="900" w:type="dxa"/>
          </w:tcPr>
          <w:p>
            <w:pPr>
              <w:pStyle w:val="TableParagraph"/>
              <w:spacing w:line="234" w:lineRule="exact" w:before="0"/>
              <w:ind w:right="94"/>
              <w:rPr>
                <w:rFonts w:ascii="Times New Roman"/>
                <w:b/>
                <w:i/>
                <w:sz w:val="22"/>
              </w:rPr>
            </w:pPr>
            <w:r>
              <w:rPr>
                <w:rFonts w:ascii="Times New Roman"/>
                <w:b/>
                <w:i/>
                <w:sz w:val="22"/>
              </w:rPr>
              <w:t>42,12</w:t>
            </w:r>
          </w:p>
        </w:tc>
      </w:tr>
      <w:tr>
        <w:trPr>
          <w:trHeight w:val="251" w:hRule="atLeast"/>
        </w:trPr>
        <w:tc>
          <w:tcPr>
            <w:tcW w:w="1534" w:type="dxa"/>
          </w:tcPr>
          <w:p>
            <w:pPr>
              <w:pStyle w:val="TableParagraph"/>
              <w:spacing w:line="232" w:lineRule="exact" w:before="0"/>
              <w:ind w:right="91"/>
              <w:rPr>
                <w:rFonts w:ascii="Times New Roman"/>
                <w:sz w:val="22"/>
              </w:rPr>
            </w:pPr>
            <w:r>
              <w:rPr>
                <w:rFonts w:ascii="Times New Roman"/>
                <w:sz w:val="22"/>
              </w:rPr>
              <w:t>3011</w:t>
            </w:r>
          </w:p>
        </w:tc>
        <w:tc>
          <w:tcPr>
            <w:tcW w:w="5556" w:type="dxa"/>
          </w:tcPr>
          <w:p>
            <w:pPr>
              <w:pStyle w:val="TableParagraph"/>
              <w:spacing w:line="232" w:lineRule="exact" w:before="0"/>
              <w:ind w:left="109"/>
              <w:jc w:val="left"/>
              <w:rPr>
                <w:rFonts w:ascii="Times New Roman"/>
                <w:sz w:val="22"/>
              </w:rPr>
            </w:pPr>
            <w:r>
              <w:rPr>
                <w:rFonts w:ascii="Times New Roman"/>
                <w:sz w:val="22"/>
              </w:rPr>
              <w:t>Program poticanja poljoprivredne proizvodnje</w:t>
            </w:r>
          </w:p>
        </w:tc>
        <w:tc>
          <w:tcPr>
            <w:tcW w:w="1560" w:type="dxa"/>
          </w:tcPr>
          <w:p>
            <w:pPr>
              <w:pStyle w:val="TableParagraph"/>
              <w:spacing w:line="232" w:lineRule="exact" w:before="0"/>
              <w:ind w:right="94"/>
              <w:rPr>
                <w:rFonts w:ascii="Times New Roman"/>
                <w:sz w:val="22"/>
              </w:rPr>
            </w:pPr>
            <w:r>
              <w:rPr>
                <w:rFonts w:ascii="Times New Roman"/>
                <w:sz w:val="22"/>
              </w:rPr>
              <w:t>261.000,00</w:t>
            </w:r>
          </w:p>
        </w:tc>
        <w:tc>
          <w:tcPr>
            <w:tcW w:w="1440" w:type="dxa"/>
          </w:tcPr>
          <w:p>
            <w:pPr>
              <w:pStyle w:val="TableParagraph"/>
              <w:spacing w:line="232" w:lineRule="exact" w:before="0"/>
              <w:ind w:right="94"/>
              <w:rPr>
                <w:rFonts w:ascii="Times New Roman"/>
                <w:sz w:val="22"/>
              </w:rPr>
            </w:pPr>
            <w:r>
              <w:rPr>
                <w:rFonts w:ascii="Times New Roman"/>
                <w:sz w:val="22"/>
              </w:rPr>
              <w:t>115.201,54</w:t>
            </w:r>
          </w:p>
        </w:tc>
        <w:tc>
          <w:tcPr>
            <w:tcW w:w="900" w:type="dxa"/>
          </w:tcPr>
          <w:p>
            <w:pPr>
              <w:pStyle w:val="TableParagraph"/>
              <w:spacing w:line="232" w:lineRule="exact" w:before="0"/>
              <w:ind w:right="94"/>
              <w:rPr>
                <w:rFonts w:ascii="Times New Roman"/>
                <w:sz w:val="22"/>
              </w:rPr>
            </w:pPr>
            <w:r>
              <w:rPr>
                <w:rFonts w:ascii="Times New Roman"/>
                <w:sz w:val="22"/>
              </w:rPr>
              <w:t>44,14</w:t>
            </w:r>
          </w:p>
        </w:tc>
      </w:tr>
      <w:tr>
        <w:trPr>
          <w:trHeight w:val="253" w:hRule="atLeast"/>
        </w:trPr>
        <w:tc>
          <w:tcPr>
            <w:tcW w:w="1534" w:type="dxa"/>
          </w:tcPr>
          <w:p>
            <w:pPr>
              <w:pStyle w:val="TableParagraph"/>
              <w:spacing w:line="234" w:lineRule="exact" w:before="0"/>
              <w:ind w:right="91"/>
              <w:rPr>
                <w:rFonts w:ascii="Times New Roman"/>
                <w:sz w:val="22"/>
              </w:rPr>
            </w:pPr>
            <w:r>
              <w:rPr>
                <w:rFonts w:ascii="Times New Roman"/>
                <w:sz w:val="22"/>
              </w:rPr>
              <w:t>3012</w:t>
            </w:r>
          </w:p>
        </w:tc>
        <w:tc>
          <w:tcPr>
            <w:tcW w:w="5556" w:type="dxa"/>
          </w:tcPr>
          <w:p>
            <w:pPr>
              <w:pStyle w:val="TableParagraph"/>
              <w:spacing w:line="234" w:lineRule="exact" w:before="0"/>
              <w:ind w:left="109"/>
              <w:jc w:val="left"/>
              <w:rPr>
                <w:rFonts w:ascii="Times New Roman" w:hAnsi="Times New Roman"/>
                <w:sz w:val="22"/>
              </w:rPr>
            </w:pPr>
            <w:r>
              <w:rPr>
                <w:rFonts w:ascii="Times New Roman" w:hAnsi="Times New Roman"/>
                <w:sz w:val="22"/>
              </w:rPr>
              <w:t>Program organiz. i provođenja zaštite i spašavanja</w:t>
            </w:r>
          </w:p>
        </w:tc>
        <w:tc>
          <w:tcPr>
            <w:tcW w:w="1560" w:type="dxa"/>
          </w:tcPr>
          <w:p>
            <w:pPr>
              <w:pStyle w:val="TableParagraph"/>
              <w:spacing w:line="234" w:lineRule="exact" w:before="0"/>
              <w:ind w:right="94"/>
              <w:rPr>
                <w:rFonts w:ascii="Times New Roman"/>
                <w:sz w:val="22"/>
              </w:rPr>
            </w:pPr>
            <w:r>
              <w:rPr>
                <w:rFonts w:ascii="Times New Roman"/>
                <w:sz w:val="22"/>
              </w:rPr>
              <w:t>25.000,00</w:t>
            </w:r>
          </w:p>
        </w:tc>
        <w:tc>
          <w:tcPr>
            <w:tcW w:w="1440" w:type="dxa"/>
          </w:tcPr>
          <w:p>
            <w:pPr>
              <w:pStyle w:val="TableParagraph"/>
              <w:spacing w:line="234" w:lineRule="exact" w:before="0"/>
              <w:ind w:right="94"/>
              <w:rPr>
                <w:rFonts w:ascii="Times New Roman"/>
                <w:sz w:val="22"/>
              </w:rPr>
            </w:pPr>
            <w:r>
              <w:rPr>
                <w:rFonts w:ascii="Times New Roman"/>
                <w:sz w:val="22"/>
              </w:rPr>
              <w:t>7.500,00</w:t>
            </w:r>
          </w:p>
        </w:tc>
        <w:tc>
          <w:tcPr>
            <w:tcW w:w="900" w:type="dxa"/>
          </w:tcPr>
          <w:p>
            <w:pPr>
              <w:pStyle w:val="TableParagraph"/>
              <w:spacing w:line="234" w:lineRule="exact" w:before="0"/>
              <w:ind w:right="94"/>
              <w:rPr>
                <w:rFonts w:ascii="Times New Roman"/>
                <w:sz w:val="22"/>
              </w:rPr>
            </w:pPr>
            <w:r>
              <w:rPr>
                <w:rFonts w:ascii="Times New Roman"/>
                <w:sz w:val="22"/>
              </w:rPr>
              <w:t>30,00</w:t>
            </w:r>
          </w:p>
        </w:tc>
      </w:tr>
      <w:tr>
        <w:trPr>
          <w:trHeight w:val="251" w:hRule="atLeast"/>
        </w:trPr>
        <w:tc>
          <w:tcPr>
            <w:tcW w:w="1534" w:type="dxa"/>
          </w:tcPr>
          <w:p>
            <w:pPr>
              <w:pStyle w:val="TableParagraph"/>
              <w:spacing w:line="232" w:lineRule="exact" w:before="0"/>
              <w:ind w:right="91"/>
              <w:rPr>
                <w:rFonts w:ascii="Times New Roman"/>
                <w:sz w:val="22"/>
              </w:rPr>
            </w:pPr>
            <w:r>
              <w:rPr>
                <w:rFonts w:ascii="Times New Roman"/>
                <w:sz w:val="22"/>
              </w:rPr>
              <w:t>3013</w:t>
            </w:r>
          </w:p>
        </w:tc>
        <w:tc>
          <w:tcPr>
            <w:tcW w:w="5556" w:type="dxa"/>
          </w:tcPr>
          <w:p>
            <w:pPr>
              <w:pStyle w:val="TableParagraph"/>
              <w:spacing w:line="232" w:lineRule="exact" w:before="0"/>
              <w:ind w:left="109"/>
              <w:jc w:val="left"/>
              <w:rPr>
                <w:rFonts w:ascii="Times New Roman"/>
                <w:sz w:val="22"/>
              </w:rPr>
            </w:pPr>
            <w:r>
              <w:rPr>
                <w:rFonts w:ascii="Times New Roman"/>
                <w:sz w:val="22"/>
              </w:rPr>
              <w:t>Program javne uprave i administracije</w:t>
            </w:r>
          </w:p>
        </w:tc>
        <w:tc>
          <w:tcPr>
            <w:tcW w:w="1560" w:type="dxa"/>
          </w:tcPr>
          <w:p>
            <w:pPr>
              <w:pStyle w:val="TableParagraph"/>
              <w:spacing w:line="232" w:lineRule="exact" w:before="0"/>
              <w:ind w:right="94"/>
              <w:rPr>
                <w:rFonts w:ascii="Times New Roman"/>
                <w:sz w:val="22"/>
              </w:rPr>
            </w:pPr>
            <w:r>
              <w:rPr>
                <w:rFonts w:ascii="Times New Roman"/>
                <w:sz w:val="22"/>
              </w:rPr>
              <w:t>2.832.707,91</w:t>
            </w:r>
          </w:p>
        </w:tc>
        <w:tc>
          <w:tcPr>
            <w:tcW w:w="1440" w:type="dxa"/>
          </w:tcPr>
          <w:p>
            <w:pPr>
              <w:pStyle w:val="TableParagraph"/>
              <w:spacing w:line="232" w:lineRule="exact" w:before="0"/>
              <w:ind w:right="94"/>
              <w:rPr>
                <w:rFonts w:ascii="Times New Roman"/>
                <w:sz w:val="22"/>
              </w:rPr>
            </w:pPr>
            <w:r>
              <w:rPr>
                <w:rFonts w:ascii="Times New Roman"/>
                <w:sz w:val="22"/>
              </w:rPr>
              <w:t>1.263.288,20</w:t>
            </w:r>
          </w:p>
        </w:tc>
        <w:tc>
          <w:tcPr>
            <w:tcW w:w="900" w:type="dxa"/>
          </w:tcPr>
          <w:p>
            <w:pPr>
              <w:pStyle w:val="TableParagraph"/>
              <w:spacing w:line="232" w:lineRule="exact" w:before="0"/>
              <w:ind w:right="94"/>
              <w:rPr>
                <w:rFonts w:ascii="Times New Roman"/>
                <w:sz w:val="22"/>
              </w:rPr>
            </w:pPr>
            <w:r>
              <w:rPr>
                <w:rFonts w:ascii="Times New Roman"/>
                <w:sz w:val="22"/>
              </w:rPr>
              <w:t>44,60</w:t>
            </w:r>
          </w:p>
        </w:tc>
      </w:tr>
    </w:tbl>
    <w:p>
      <w:pPr>
        <w:spacing w:after="0" w:line="232" w:lineRule="exact"/>
        <w:rPr>
          <w:rFonts w:ascii="Times New Roman"/>
          <w:sz w:val="22"/>
        </w:rPr>
        <w:sectPr>
          <w:pgSz w:w="11910" w:h="16840"/>
          <w:pgMar w:header="0" w:footer="769" w:top="980" w:bottom="980" w:left="160" w:right="20"/>
        </w:sectPr>
      </w:pPr>
    </w:p>
    <w:tbl>
      <w:tblPr>
        <w:tblW w:w="0" w:type="auto"/>
        <w:jc w:val="left"/>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4"/>
        <w:gridCol w:w="5556"/>
        <w:gridCol w:w="1560"/>
        <w:gridCol w:w="1440"/>
        <w:gridCol w:w="900"/>
      </w:tblGrid>
      <w:tr>
        <w:trPr>
          <w:trHeight w:val="251" w:hRule="atLeast"/>
        </w:trPr>
        <w:tc>
          <w:tcPr>
            <w:tcW w:w="1534" w:type="dxa"/>
          </w:tcPr>
          <w:p>
            <w:pPr>
              <w:pStyle w:val="TableParagraph"/>
              <w:spacing w:line="232" w:lineRule="exact" w:before="0"/>
              <w:ind w:right="91"/>
              <w:rPr>
                <w:rFonts w:ascii="Times New Roman"/>
                <w:sz w:val="22"/>
              </w:rPr>
            </w:pPr>
            <w:r>
              <w:rPr>
                <w:rFonts w:ascii="Times New Roman"/>
                <w:sz w:val="22"/>
              </w:rPr>
              <w:t>3014</w:t>
            </w:r>
          </w:p>
        </w:tc>
        <w:tc>
          <w:tcPr>
            <w:tcW w:w="5556" w:type="dxa"/>
          </w:tcPr>
          <w:p>
            <w:pPr>
              <w:pStyle w:val="TableParagraph"/>
              <w:spacing w:line="232" w:lineRule="exact" w:before="0"/>
              <w:ind w:left="109"/>
              <w:jc w:val="left"/>
              <w:rPr>
                <w:rFonts w:ascii="Times New Roman"/>
                <w:sz w:val="22"/>
              </w:rPr>
            </w:pPr>
            <w:r>
              <w:rPr>
                <w:rFonts w:ascii="Times New Roman"/>
                <w:sz w:val="22"/>
              </w:rPr>
              <w:t>Program razvoja turizma</w:t>
            </w:r>
          </w:p>
        </w:tc>
        <w:tc>
          <w:tcPr>
            <w:tcW w:w="1560" w:type="dxa"/>
          </w:tcPr>
          <w:p>
            <w:pPr>
              <w:pStyle w:val="TableParagraph"/>
              <w:spacing w:line="232" w:lineRule="exact" w:before="0"/>
              <w:ind w:right="91"/>
              <w:rPr>
                <w:rFonts w:ascii="Times New Roman"/>
                <w:sz w:val="22"/>
              </w:rPr>
            </w:pPr>
            <w:r>
              <w:rPr>
                <w:rFonts w:ascii="Times New Roman"/>
                <w:sz w:val="22"/>
              </w:rPr>
              <w:t>363.000,00</w:t>
            </w:r>
          </w:p>
        </w:tc>
        <w:tc>
          <w:tcPr>
            <w:tcW w:w="1440" w:type="dxa"/>
          </w:tcPr>
          <w:p>
            <w:pPr>
              <w:pStyle w:val="TableParagraph"/>
              <w:spacing w:line="232" w:lineRule="exact" w:before="0"/>
              <w:ind w:right="91"/>
              <w:rPr>
                <w:rFonts w:ascii="Times New Roman"/>
                <w:sz w:val="22"/>
              </w:rPr>
            </w:pPr>
            <w:r>
              <w:rPr>
                <w:rFonts w:ascii="Times New Roman"/>
                <w:sz w:val="22"/>
              </w:rPr>
              <w:t>231.139,68</w:t>
            </w:r>
          </w:p>
        </w:tc>
        <w:tc>
          <w:tcPr>
            <w:tcW w:w="900" w:type="dxa"/>
          </w:tcPr>
          <w:p>
            <w:pPr>
              <w:pStyle w:val="TableParagraph"/>
              <w:spacing w:line="232" w:lineRule="exact" w:before="0"/>
              <w:ind w:right="94"/>
              <w:rPr>
                <w:rFonts w:ascii="Times New Roman"/>
                <w:sz w:val="22"/>
              </w:rPr>
            </w:pPr>
            <w:r>
              <w:rPr>
                <w:rFonts w:ascii="Times New Roman"/>
                <w:sz w:val="22"/>
              </w:rPr>
              <w:t>63,67</w:t>
            </w:r>
          </w:p>
        </w:tc>
      </w:tr>
      <w:tr>
        <w:trPr>
          <w:trHeight w:val="253" w:hRule="atLeast"/>
        </w:trPr>
        <w:tc>
          <w:tcPr>
            <w:tcW w:w="1534" w:type="dxa"/>
          </w:tcPr>
          <w:p>
            <w:pPr>
              <w:pStyle w:val="TableParagraph"/>
              <w:spacing w:line="234" w:lineRule="exact" w:before="0"/>
              <w:ind w:right="91"/>
              <w:rPr>
                <w:rFonts w:ascii="Times New Roman"/>
                <w:sz w:val="22"/>
              </w:rPr>
            </w:pPr>
            <w:r>
              <w:rPr>
                <w:rFonts w:ascii="Times New Roman"/>
                <w:sz w:val="22"/>
              </w:rPr>
              <w:t>3015</w:t>
            </w:r>
          </w:p>
        </w:tc>
        <w:tc>
          <w:tcPr>
            <w:tcW w:w="5556" w:type="dxa"/>
          </w:tcPr>
          <w:p>
            <w:pPr>
              <w:pStyle w:val="TableParagraph"/>
              <w:spacing w:line="234" w:lineRule="exact" w:before="0"/>
              <w:ind w:left="109"/>
              <w:jc w:val="left"/>
              <w:rPr>
                <w:rFonts w:ascii="Times New Roman" w:hAnsi="Times New Roman"/>
                <w:sz w:val="22"/>
              </w:rPr>
            </w:pPr>
            <w:r>
              <w:rPr>
                <w:rFonts w:ascii="Times New Roman" w:hAnsi="Times New Roman"/>
                <w:sz w:val="22"/>
              </w:rPr>
              <w:t>Program kreditnog zaduženja</w:t>
            </w:r>
          </w:p>
        </w:tc>
        <w:tc>
          <w:tcPr>
            <w:tcW w:w="1560" w:type="dxa"/>
          </w:tcPr>
          <w:p>
            <w:pPr>
              <w:pStyle w:val="TableParagraph"/>
              <w:spacing w:line="234" w:lineRule="exact" w:before="0"/>
              <w:ind w:right="94"/>
              <w:rPr>
                <w:rFonts w:ascii="Times New Roman"/>
                <w:sz w:val="22"/>
              </w:rPr>
            </w:pPr>
            <w:r>
              <w:rPr>
                <w:rFonts w:ascii="Times New Roman"/>
                <w:sz w:val="22"/>
              </w:rPr>
              <w:t>97.000,00</w:t>
            </w:r>
          </w:p>
        </w:tc>
        <w:tc>
          <w:tcPr>
            <w:tcW w:w="1440" w:type="dxa"/>
          </w:tcPr>
          <w:p>
            <w:pPr>
              <w:pStyle w:val="TableParagraph"/>
              <w:spacing w:line="234" w:lineRule="exact" w:before="0"/>
              <w:ind w:right="94"/>
              <w:rPr>
                <w:rFonts w:ascii="Times New Roman"/>
                <w:sz w:val="22"/>
              </w:rPr>
            </w:pPr>
            <w:r>
              <w:rPr>
                <w:rFonts w:ascii="Times New Roman"/>
                <w:sz w:val="22"/>
              </w:rPr>
              <w:t>44.000,00</w:t>
            </w:r>
          </w:p>
        </w:tc>
        <w:tc>
          <w:tcPr>
            <w:tcW w:w="900" w:type="dxa"/>
          </w:tcPr>
          <w:p>
            <w:pPr>
              <w:pStyle w:val="TableParagraph"/>
              <w:spacing w:line="234" w:lineRule="exact" w:before="0"/>
              <w:ind w:right="94"/>
              <w:rPr>
                <w:rFonts w:ascii="Times New Roman"/>
                <w:sz w:val="22"/>
              </w:rPr>
            </w:pPr>
            <w:r>
              <w:rPr>
                <w:rFonts w:ascii="Times New Roman"/>
                <w:sz w:val="22"/>
              </w:rPr>
              <w:t>45,36</w:t>
            </w:r>
          </w:p>
        </w:tc>
      </w:tr>
      <w:tr>
        <w:trPr>
          <w:trHeight w:val="251" w:hRule="atLeast"/>
        </w:trPr>
        <w:tc>
          <w:tcPr>
            <w:tcW w:w="1534" w:type="dxa"/>
          </w:tcPr>
          <w:p>
            <w:pPr>
              <w:pStyle w:val="TableParagraph"/>
              <w:spacing w:line="232" w:lineRule="exact" w:before="0"/>
              <w:ind w:right="91"/>
              <w:rPr>
                <w:rFonts w:ascii="Times New Roman"/>
                <w:sz w:val="22"/>
              </w:rPr>
            </w:pPr>
            <w:r>
              <w:rPr>
                <w:rFonts w:ascii="Times New Roman"/>
                <w:sz w:val="22"/>
              </w:rPr>
              <w:t>3016</w:t>
            </w:r>
          </w:p>
        </w:tc>
        <w:tc>
          <w:tcPr>
            <w:tcW w:w="5556" w:type="dxa"/>
          </w:tcPr>
          <w:p>
            <w:pPr>
              <w:pStyle w:val="TableParagraph"/>
              <w:spacing w:line="232" w:lineRule="exact" w:before="0"/>
              <w:ind w:left="109"/>
              <w:jc w:val="left"/>
              <w:rPr>
                <w:rFonts w:ascii="Times New Roman"/>
                <w:sz w:val="22"/>
              </w:rPr>
            </w:pPr>
            <w:r>
              <w:rPr>
                <w:rFonts w:ascii="Times New Roman"/>
                <w:sz w:val="22"/>
              </w:rPr>
              <w:t>Program javnih potreba u vatrogastvu</w:t>
            </w:r>
          </w:p>
        </w:tc>
        <w:tc>
          <w:tcPr>
            <w:tcW w:w="1560" w:type="dxa"/>
          </w:tcPr>
          <w:p>
            <w:pPr>
              <w:pStyle w:val="TableParagraph"/>
              <w:spacing w:line="232" w:lineRule="exact" w:before="0"/>
              <w:ind w:right="94"/>
              <w:rPr>
                <w:rFonts w:ascii="Times New Roman"/>
                <w:sz w:val="22"/>
              </w:rPr>
            </w:pPr>
            <w:r>
              <w:rPr>
                <w:rFonts w:ascii="Times New Roman"/>
                <w:sz w:val="22"/>
              </w:rPr>
              <w:t>470.000,00</w:t>
            </w:r>
          </w:p>
        </w:tc>
        <w:tc>
          <w:tcPr>
            <w:tcW w:w="1440" w:type="dxa"/>
          </w:tcPr>
          <w:p>
            <w:pPr>
              <w:pStyle w:val="TableParagraph"/>
              <w:spacing w:line="232" w:lineRule="exact" w:before="0"/>
              <w:ind w:right="94"/>
              <w:rPr>
                <w:rFonts w:ascii="Times New Roman"/>
                <w:sz w:val="22"/>
              </w:rPr>
            </w:pPr>
            <w:r>
              <w:rPr>
                <w:rFonts w:ascii="Times New Roman"/>
                <w:sz w:val="22"/>
              </w:rPr>
              <w:t>150.000,00</w:t>
            </w:r>
          </w:p>
        </w:tc>
        <w:tc>
          <w:tcPr>
            <w:tcW w:w="900" w:type="dxa"/>
          </w:tcPr>
          <w:p>
            <w:pPr>
              <w:pStyle w:val="TableParagraph"/>
              <w:spacing w:line="232" w:lineRule="exact" w:before="0"/>
              <w:ind w:right="94"/>
              <w:rPr>
                <w:rFonts w:ascii="Times New Roman"/>
                <w:sz w:val="22"/>
              </w:rPr>
            </w:pPr>
            <w:r>
              <w:rPr>
                <w:rFonts w:ascii="Times New Roman"/>
                <w:sz w:val="22"/>
              </w:rPr>
              <w:t>31,91</w:t>
            </w:r>
          </w:p>
        </w:tc>
      </w:tr>
      <w:tr>
        <w:trPr>
          <w:trHeight w:val="254" w:hRule="atLeast"/>
        </w:trPr>
        <w:tc>
          <w:tcPr>
            <w:tcW w:w="1534" w:type="dxa"/>
          </w:tcPr>
          <w:p>
            <w:pPr>
              <w:pStyle w:val="TableParagraph"/>
              <w:spacing w:line="234" w:lineRule="exact" w:before="0"/>
              <w:ind w:right="91"/>
              <w:rPr>
                <w:rFonts w:ascii="Times New Roman"/>
                <w:sz w:val="22"/>
              </w:rPr>
            </w:pPr>
            <w:r>
              <w:rPr>
                <w:rFonts w:ascii="Times New Roman"/>
                <w:sz w:val="22"/>
              </w:rPr>
              <w:t>3017</w:t>
            </w:r>
          </w:p>
        </w:tc>
        <w:tc>
          <w:tcPr>
            <w:tcW w:w="5556" w:type="dxa"/>
          </w:tcPr>
          <w:p>
            <w:pPr>
              <w:pStyle w:val="TableParagraph"/>
              <w:spacing w:line="234" w:lineRule="exact" w:before="0"/>
              <w:ind w:left="109"/>
              <w:jc w:val="left"/>
              <w:rPr>
                <w:rFonts w:ascii="Times New Roman" w:hAnsi="Times New Roman"/>
                <w:sz w:val="22"/>
              </w:rPr>
            </w:pPr>
            <w:r>
              <w:rPr>
                <w:rFonts w:ascii="Times New Roman" w:hAnsi="Times New Roman"/>
                <w:sz w:val="22"/>
              </w:rPr>
              <w:t>Program razvoja malog i srednjeg poduzetništva</w:t>
            </w:r>
          </w:p>
        </w:tc>
        <w:tc>
          <w:tcPr>
            <w:tcW w:w="1560" w:type="dxa"/>
          </w:tcPr>
          <w:p>
            <w:pPr>
              <w:pStyle w:val="TableParagraph"/>
              <w:spacing w:line="234" w:lineRule="exact" w:before="0"/>
              <w:ind w:right="94"/>
              <w:rPr>
                <w:rFonts w:ascii="Times New Roman"/>
                <w:sz w:val="22"/>
              </w:rPr>
            </w:pPr>
            <w:r>
              <w:rPr>
                <w:rFonts w:ascii="Times New Roman"/>
                <w:sz w:val="22"/>
              </w:rPr>
              <w:t>8.000,00</w:t>
            </w:r>
          </w:p>
        </w:tc>
        <w:tc>
          <w:tcPr>
            <w:tcW w:w="1440" w:type="dxa"/>
          </w:tcPr>
          <w:p>
            <w:pPr>
              <w:pStyle w:val="TableParagraph"/>
              <w:spacing w:line="234" w:lineRule="exact" w:before="0"/>
              <w:ind w:right="94"/>
              <w:rPr>
                <w:rFonts w:ascii="Times New Roman"/>
                <w:sz w:val="22"/>
              </w:rPr>
            </w:pPr>
            <w:r>
              <w:rPr>
                <w:rFonts w:ascii="Times New Roman"/>
                <w:sz w:val="22"/>
              </w:rPr>
              <w:t>49,11</w:t>
            </w:r>
          </w:p>
        </w:tc>
        <w:tc>
          <w:tcPr>
            <w:tcW w:w="900" w:type="dxa"/>
          </w:tcPr>
          <w:p>
            <w:pPr>
              <w:pStyle w:val="TableParagraph"/>
              <w:spacing w:line="234" w:lineRule="exact" w:before="0"/>
              <w:ind w:right="94"/>
              <w:rPr>
                <w:rFonts w:ascii="Times New Roman"/>
                <w:sz w:val="22"/>
              </w:rPr>
            </w:pPr>
            <w:r>
              <w:rPr>
                <w:rFonts w:ascii="Times New Roman"/>
                <w:sz w:val="22"/>
              </w:rPr>
              <w:t>0,61</w:t>
            </w:r>
          </w:p>
        </w:tc>
      </w:tr>
      <w:tr>
        <w:trPr>
          <w:trHeight w:val="253" w:hRule="atLeast"/>
        </w:trPr>
        <w:tc>
          <w:tcPr>
            <w:tcW w:w="1534" w:type="dxa"/>
          </w:tcPr>
          <w:p>
            <w:pPr>
              <w:pStyle w:val="TableParagraph"/>
              <w:spacing w:line="234" w:lineRule="exact" w:before="0"/>
              <w:ind w:right="91"/>
              <w:rPr>
                <w:rFonts w:ascii="Times New Roman"/>
                <w:sz w:val="22"/>
              </w:rPr>
            </w:pPr>
            <w:r>
              <w:rPr>
                <w:rFonts w:ascii="Times New Roman"/>
                <w:sz w:val="22"/>
              </w:rPr>
              <w:t>3018</w:t>
            </w:r>
          </w:p>
        </w:tc>
        <w:tc>
          <w:tcPr>
            <w:tcW w:w="5556" w:type="dxa"/>
          </w:tcPr>
          <w:p>
            <w:pPr>
              <w:pStyle w:val="TableParagraph"/>
              <w:spacing w:line="234" w:lineRule="exact" w:before="0"/>
              <w:ind w:left="109"/>
              <w:jc w:val="left"/>
              <w:rPr>
                <w:rFonts w:ascii="Times New Roman"/>
                <w:sz w:val="22"/>
              </w:rPr>
            </w:pPr>
            <w:r>
              <w:rPr>
                <w:rFonts w:ascii="Times New Roman"/>
                <w:sz w:val="22"/>
              </w:rPr>
              <w:t>Program upravljanja imovinom</w:t>
            </w:r>
          </w:p>
        </w:tc>
        <w:tc>
          <w:tcPr>
            <w:tcW w:w="1560" w:type="dxa"/>
          </w:tcPr>
          <w:p>
            <w:pPr>
              <w:pStyle w:val="TableParagraph"/>
              <w:spacing w:line="234" w:lineRule="exact" w:before="0"/>
              <w:ind w:right="94"/>
              <w:rPr>
                <w:rFonts w:ascii="Times New Roman"/>
                <w:sz w:val="22"/>
              </w:rPr>
            </w:pPr>
            <w:r>
              <w:rPr>
                <w:rFonts w:ascii="Times New Roman"/>
                <w:sz w:val="22"/>
              </w:rPr>
              <w:t>230.000,00</w:t>
            </w:r>
          </w:p>
        </w:tc>
        <w:tc>
          <w:tcPr>
            <w:tcW w:w="1440" w:type="dxa"/>
          </w:tcPr>
          <w:p>
            <w:pPr>
              <w:pStyle w:val="TableParagraph"/>
              <w:spacing w:line="234" w:lineRule="exact" w:before="0"/>
              <w:ind w:right="94"/>
              <w:rPr>
                <w:rFonts w:ascii="Times New Roman"/>
                <w:sz w:val="22"/>
              </w:rPr>
            </w:pPr>
            <w:r>
              <w:rPr>
                <w:rFonts w:ascii="Times New Roman"/>
                <w:sz w:val="22"/>
              </w:rPr>
              <w:t>1.974,58</w:t>
            </w:r>
          </w:p>
        </w:tc>
        <w:tc>
          <w:tcPr>
            <w:tcW w:w="900" w:type="dxa"/>
          </w:tcPr>
          <w:p>
            <w:pPr>
              <w:pStyle w:val="TableParagraph"/>
              <w:spacing w:line="234" w:lineRule="exact" w:before="0"/>
              <w:ind w:right="94"/>
              <w:rPr>
                <w:rFonts w:ascii="Times New Roman"/>
                <w:sz w:val="22"/>
              </w:rPr>
            </w:pPr>
            <w:r>
              <w:rPr>
                <w:rFonts w:ascii="Times New Roman"/>
                <w:sz w:val="22"/>
              </w:rPr>
              <w:t>0,86</w:t>
            </w:r>
          </w:p>
        </w:tc>
      </w:tr>
      <w:tr>
        <w:trPr>
          <w:trHeight w:val="251" w:hRule="atLeast"/>
        </w:trPr>
        <w:tc>
          <w:tcPr>
            <w:tcW w:w="1534" w:type="dxa"/>
          </w:tcPr>
          <w:p>
            <w:pPr>
              <w:pStyle w:val="TableParagraph"/>
              <w:spacing w:line="232" w:lineRule="exact" w:before="0"/>
              <w:ind w:right="91"/>
              <w:rPr>
                <w:rFonts w:ascii="Times New Roman"/>
                <w:sz w:val="22"/>
              </w:rPr>
            </w:pPr>
            <w:r>
              <w:rPr>
                <w:rFonts w:ascii="Times New Roman"/>
                <w:sz w:val="22"/>
              </w:rPr>
              <w:t>3019</w:t>
            </w:r>
          </w:p>
        </w:tc>
        <w:tc>
          <w:tcPr>
            <w:tcW w:w="5556" w:type="dxa"/>
          </w:tcPr>
          <w:p>
            <w:pPr>
              <w:pStyle w:val="TableParagraph"/>
              <w:spacing w:line="232" w:lineRule="exact" w:before="0"/>
              <w:ind w:left="109"/>
              <w:jc w:val="left"/>
              <w:rPr>
                <w:rFonts w:ascii="Times New Roman"/>
                <w:sz w:val="22"/>
              </w:rPr>
            </w:pPr>
            <w:r>
              <w:rPr>
                <w:rFonts w:ascii="Times New Roman"/>
                <w:sz w:val="22"/>
              </w:rPr>
              <w:t>Program izrade planske dokumentacije</w:t>
            </w:r>
          </w:p>
        </w:tc>
        <w:tc>
          <w:tcPr>
            <w:tcW w:w="1560" w:type="dxa"/>
          </w:tcPr>
          <w:p>
            <w:pPr>
              <w:pStyle w:val="TableParagraph"/>
              <w:spacing w:line="232" w:lineRule="exact" w:before="0"/>
              <w:ind w:right="94"/>
              <w:rPr>
                <w:rFonts w:ascii="Times New Roman"/>
                <w:sz w:val="22"/>
              </w:rPr>
            </w:pPr>
            <w:r>
              <w:rPr>
                <w:rFonts w:ascii="Times New Roman"/>
                <w:sz w:val="22"/>
              </w:rPr>
              <w:t>18.000,00</w:t>
            </w:r>
          </w:p>
        </w:tc>
        <w:tc>
          <w:tcPr>
            <w:tcW w:w="1440" w:type="dxa"/>
          </w:tcPr>
          <w:p>
            <w:pPr>
              <w:pStyle w:val="TableParagraph"/>
              <w:spacing w:line="232" w:lineRule="exact" w:before="0"/>
              <w:ind w:right="94"/>
              <w:rPr>
                <w:rFonts w:ascii="Times New Roman"/>
                <w:sz w:val="22"/>
              </w:rPr>
            </w:pPr>
            <w:r>
              <w:rPr>
                <w:rFonts w:ascii="Times New Roman"/>
                <w:sz w:val="22"/>
              </w:rPr>
              <w:t>0,00</w:t>
            </w:r>
          </w:p>
        </w:tc>
        <w:tc>
          <w:tcPr>
            <w:tcW w:w="900" w:type="dxa"/>
          </w:tcPr>
          <w:p>
            <w:pPr>
              <w:pStyle w:val="TableParagraph"/>
              <w:spacing w:line="232" w:lineRule="exact" w:before="0"/>
              <w:ind w:right="94"/>
              <w:rPr>
                <w:rFonts w:ascii="Times New Roman"/>
                <w:sz w:val="22"/>
              </w:rPr>
            </w:pPr>
            <w:r>
              <w:rPr>
                <w:rFonts w:ascii="Times New Roman"/>
                <w:sz w:val="22"/>
              </w:rPr>
              <w:t>0,00</w:t>
            </w:r>
          </w:p>
        </w:tc>
      </w:tr>
      <w:tr>
        <w:trPr>
          <w:trHeight w:val="253" w:hRule="atLeast"/>
        </w:trPr>
        <w:tc>
          <w:tcPr>
            <w:tcW w:w="1534" w:type="dxa"/>
          </w:tcPr>
          <w:p>
            <w:pPr>
              <w:pStyle w:val="TableParagraph"/>
              <w:tabs>
                <w:tab w:pos="717" w:val="left" w:leader="none"/>
              </w:tabs>
              <w:spacing w:line="234" w:lineRule="exact" w:before="0"/>
              <w:ind w:right="144"/>
              <w:rPr>
                <w:rFonts w:ascii="Times New Roman"/>
                <w:b/>
                <w:sz w:val="22"/>
              </w:rPr>
            </w:pPr>
            <w:r>
              <w:rPr>
                <w:rFonts w:ascii="Times New Roman"/>
                <w:b/>
                <w:i/>
                <w:sz w:val="22"/>
              </w:rPr>
              <w:t>004</w:t>
              <w:tab/>
            </w:r>
            <w:r>
              <w:rPr>
                <w:rFonts w:ascii="Times New Roman"/>
                <w:b/>
                <w:sz w:val="22"/>
              </w:rPr>
              <w:t>00401</w:t>
            </w:r>
          </w:p>
        </w:tc>
        <w:tc>
          <w:tcPr>
            <w:tcW w:w="5556" w:type="dxa"/>
          </w:tcPr>
          <w:p>
            <w:pPr>
              <w:pStyle w:val="TableParagraph"/>
              <w:spacing w:line="234" w:lineRule="exact" w:before="0"/>
              <w:ind w:left="109"/>
              <w:jc w:val="left"/>
              <w:rPr>
                <w:rFonts w:ascii="Times New Roman"/>
                <w:b/>
                <w:i/>
                <w:sz w:val="22"/>
              </w:rPr>
            </w:pPr>
            <w:r>
              <w:rPr>
                <w:rFonts w:ascii="Times New Roman"/>
                <w:b/>
                <w:i/>
                <w:sz w:val="22"/>
              </w:rPr>
              <w:t>UO za urbanizam i komun. poslove</w:t>
            </w:r>
          </w:p>
        </w:tc>
        <w:tc>
          <w:tcPr>
            <w:tcW w:w="1560" w:type="dxa"/>
          </w:tcPr>
          <w:p>
            <w:pPr>
              <w:pStyle w:val="TableParagraph"/>
              <w:spacing w:line="234" w:lineRule="exact" w:before="0"/>
              <w:ind w:right="94"/>
              <w:rPr>
                <w:rFonts w:ascii="Times New Roman"/>
                <w:b/>
                <w:i/>
                <w:sz w:val="22"/>
              </w:rPr>
            </w:pPr>
            <w:r>
              <w:rPr>
                <w:rFonts w:ascii="Times New Roman"/>
                <w:b/>
                <w:i/>
                <w:sz w:val="22"/>
              </w:rPr>
              <w:t>10.354.000,00</w:t>
            </w:r>
          </w:p>
        </w:tc>
        <w:tc>
          <w:tcPr>
            <w:tcW w:w="1440" w:type="dxa"/>
          </w:tcPr>
          <w:p>
            <w:pPr>
              <w:pStyle w:val="TableParagraph"/>
              <w:spacing w:line="234" w:lineRule="exact" w:before="0"/>
              <w:ind w:right="94"/>
              <w:rPr>
                <w:rFonts w:ascii="Times New Roman"/>
                <w:b/>
                <w:i/>
                <w:sz w:val="22"/>
              </w:rPr>
            </w:pPr>
            <w:r>
              <w:rPr>
                <w:rFonts w:ascii="Times New Roman"/>
                <w:b/>
                <w:i/>
                <w:sz w:val="22"/>
              </w:rPr>
              <w:t>1.742.356,03</w:t>
            </w:r>
          </w:p>
        </w:tc>
        <w:tc>
          <w:tcPr>
            <w:tcW w:w="900" w:type="dxa"/>
          </w:tcPr>
          <w:p>
            <w:pPr>
              <w:pStyle w:val="TableParagraph"/>
              <w:spacing w:line="234" w:lineRule="exact" w:before="0"/>
              <w:ind w:right="94"/>
              <w:rPr>
                <w:rFonts w:ascii="Times New Roman"/>
                <w:b/>
                <w:i/>
                <w:sz w:val="22"/>
              </w:rPr>
            </w:pPr>
            <w:r>
              <w:rPr>
                <w:rFonts w:ascii="Times New Roman"/>
                <w:b/>
                <w:i/>
                <w:sz w:val="22"/>
              </w:rPr>
              <w:t>16,83</w:t>
            </w:r>
          </w:p>
        </w:tc>
      </w:tr>
      <w:tr>
        <w:trPr>
          <w:trHeight w:val="251" w:hRule="atLeast"/>
        </w:trPr>
        <w:tc>
          <w:tcPr>
            <w:tcW w:w="1534" w:type="dxa"/>
          </w:tcPr>
          <w:p>
            <w:pPr>
              <w:pStyle w:val="TableParagraph"/>
              <w:spacing w:line="232" w:lineRule="exact" w:before="0"/>
              <w:ind w:right="91"/>
              <w:rPr>
                <w:rFonts w:ascii="Times New Roman"/>
                <w:sz w:val="22"/>
              </w:rPr>
            </w:pPr>
            <w:r>
              <w:rPr>
                <w:rFonts w:ascii="Times New Roman"/>
                <w:sz w:val="22"/>
              </w:rPr>
              <w:t>4011</w:t>
            </w:r>
          </w:p>
        </w:tc>
        <w:tc>
          <w:tcPr>
            <w:tcW w:w="5556" w:type="dxa"/>
          </w:tcPr>
          <w:p>
            <w:pPr>
              <w:pStyle w:val="TableParagraph"/>
              <w:spacing w:line="232" w:lineRule="exact" w:before="0"/>
              <w:ind w:left="109"/>
              <w:jc w:val="left"/>
              <w:rPr>
                <w:rFonts w:ascii="Times New Roman"/>
                <w:sz w:val="22"/>
              </w:rPr>
            </w:pPr>
            <w:r>
              <w:rPr>
                <w:rFonts w:ascii="Times New Roman"/>
                <w:sz w:val="22"/>
              </w:rPr>
              <w:t>Program izgradnje komunalne infrastrukture</w:t>
            </w:r>
          </w:p>
        </w:tc>
        <w:tc>
          <w:tcPr>
            <w:tcW w:w="1560" w:type="dxa"/>
          </w:tcPr>
          <w:p>
            <w:pPr>
              <w:pStyle w:val="TableParagraph"/>
              <w:spacing w:line="232" w:lineRule="exact" w:before="0"/>
              <w:ind w:right="94"/>
              <w:rPr>
                <w:rFonts w:ascii="Times New Roman"/>
                <w:sz w:val="22"/>
              </w:rPr>
            </w:pPr>
            <w:r>
              <w:rPr>
                <w:rFonts w:ascii="Times New Roman"/>
                <w:sz w:val="22"/>
              </w:rPr>
              <w:t>6.769.000,00</w:t>
            </w:r>
          </w:p>
        </w:tc>
        <w:tc>
          <w:tcPr>
            <w:tcW w:w="1440" w:type="dxa"/>
          </w:tcPr>
          <w:p>
            <w:pPr>
              <w:pStyle w:val="TableParagraph"/>
              <w:spacing w:line="232" w:lineRule="exact" w:before="0"/>
              <w:ind w:right="91"/>
              <w:rPr>
                <w:rFonts w:ascii="Times New Roman"/>
                <w:sz w:val="22"/>
              </w:rPr>
            </w:pPr>
            <w:r>
              <w:rPr>
                <w:rFonts w:ascii="Times New Roman"/>
                <w:sz w:val="22"/>
              </w:rPr>
              <w:t>503.157,54</w:t>
            </w:r>
          </w:p>
        </w:tc>
        <w:tc>
          <w:tcPr>
            <w:tcW w:w="900" w:type="dxa"/>
          </w:tcPr>
          <w:p>
            <w:pPr>
              <w:pStyle w:val="TableParagraph"/>
              <w:spacing w:line="232" w:lineRule="exact" w:before="0"/>
              <w:ind w:right="94"/>
              <w:rPr>
                <w:rFonts w:ascii="Times New Roman"/>
                <w:sz w:val="22"/>
              </w:rPr>
            </w:pPr>
            <w:r>
              <w:rPr>
                <w:rFonts w:ascii="Times New Roman"/>
                <w:sz w:val="22"/>
              </w:rPr>
              <w:t>7,43</w:t>
            </w:r>
          </w:p>
        </w:tc>
      </w:tr>
      <w:tr>
        <w:trPr>
          <w:trHeight w:val="254" w:hRule="atLeast"/>
        </w:trPr>
        <w:tc>
          <w:tcPr>
            <w:tcW w:w="1534" w:type="dxa"/>
          </w:tcPr>
          <w:p>
            <w:pPr>
              <w:pStyle w:val="TableParagraph"/>
              <w:spacing w:line="234" w:lineRule="exact" w:before="0"/>
              <w:ind w:right="91"/>
              <w:rPr>
                <w:rFonts w:ascii="Times New Roman"/>
                <w:sz w:val="22"/>
              </w:rPr>
            </w:pPr>
            <w:r>
              <w:rPr>
                <w:rFonts w:ascii="Times New Roman"/>
                <w:sz w:val="22"/>
              </w:rPr>
              <w:t>4012</w:t>
            </w:r>
          </w:p>
        </w:tc>
        <w:tc>
          <w:tcPr>
            <w:tcW w:w="5556" w:type="dxa"/>
          </w:tcPr>
          <w:p>
            <w:pPr>
              <w:pStyle w:val="TableParagraph"/>
              <w:spacing w:line="234" w:lineRule="exact" w:before="0"/>
              <w:ind w:left="109"/>
              <w:jc w:val="left"/>
              <w:rPr>
                <w:rFonts w:ascii="Times New Roman" w:hAnsi="Times New Roman"/>
                <w:sz w:val="22"/>
              </w:rPr>
            </w:pPr>
            <w:r>
              <w:rPr>
                <w:rFonts w:ascii="Times New Roman" w:hAnsi="Times New Roman"/>
                <w:sz w:val="22"/>
              </w:rPr>
              <w:t>Program prostornog planiranja i uređenja grada</w:t>
            </w:r>
          </w:p>
        </w:tc>
        <w:tc>
          <w:tcPr>
            <w:tcW w:w="1560" w:type="dxa"/>
          </w:tcPr>
          <w:p>
            <w:pPr>
              <w:pStyle w:val="TableParagraph"/>
              <w:spacing w:line="234" w:lineRule="exact" w:before="0"/>
              <w:ind w:right="94"/>
              <w:rPr>
                <w:rFonts w:ascii="Times New Roman"/>
                <w:sz w:val="22"/>
              </w:rPr>
            </w:pPr>
            <w:r>
              <w:rPr>
                <w:rFonts w:ascii="Times New Roman"/>
                <w:sz w:val="22"/>
              </w:rPr>
              <w:t>579.000,00</w:t>
            </w:r>
          </w:p>
        </w:tc>
        <w:tc>
          <w:tcPr>
            <w:tcW w:w="1440" w:type="dxa"/>
          </w:tcPr>
          <w:p>
            <w:pPr>
              <w:pStyle w:val="TableParagraph"/>
              <w:spacing w:line="234" w:lineRule="exact" w:before="0"/>
              <w:ind w:right="94"/>
              <w:rPr>
                <w:rFonts w:ascii="Times New Roman"/>
                <w:sz w:val="22"/>
              </w:rPr>
            </w:pPr>
            <w:r>
              <w:rPr>
                <w:rFonts w:ascii="Times New Roman"/>
                <w:sz w:val="22"/>
              </w:rPr>
              <w:t>149.337,21</w:t>
            </w:r>
          </w:p>
        </w:tc>
        <w:tc>
          <w:tcPr>
            <w:tcW w:w="900" w:type="dxa"/>
          </w:tcPr>
          <w:p>
            <w:pPr>
              <w:pStyle w:val="TableParagraph"/>
              <w:spacing w:line="234" w:lineRule="exact" w:before="0"/>
              <w:ind w:right="94"/>
              <w:rPr>
                <w:rFonts w:ascii="Times New Roman"/>
                <w:sz w:val="22"/>
              </w:rPr>
            </w:pPr>
            <w:r>
              <w:rPr>
                <w:rFonts w:ascii="Times New Roman"/>
                <w:sz w:val="22"/>
              </w:rPr>
              <w:t>25,79</w:t>
            </w:r>
          </w:p>
        </w:tc>
      </w:tr>
      <w:tr>
        <w:trPr>
          <w:trHeight w:val="251" w:hRule="atLeast"/>
        </w:trPr>
        <w:tc>
          <w:tcPr>
            <w:tcW w:w="1534" w:type="dxa"/>
          </w:tcPr>
          <w:p>
            <w:pPr>
              <w:pStyle w:val="TableParagraph"/>
              <w:spacing w:line="232" w:lineRule="exact" w:before="0"/>
              <w:ind w:right="91"/>
              <w:rPr>
                <w:rFonts w:ascii="Times New Roman"/>
                <w:sz w:val="22"/>
              </w:rPr>
            </w:pPr>
            <w:r>
              <w:rPr>
                <w:rFonts w:ascii="Times New Roman"/>
                <w:sz w:val="22"/>
              </w:rPr>
              <w:t>4013</w:t>
            </w:r>
          </w:p>
        </w:tc>
        <w:tc>
          <w:tcPr>
            <w:tcW w:w="5556" w:type="dxa"/>
          </w:tcPr>
          <w:p>
            <w:pPr>
              <w:pStyle w:val="TableParagraph"/>
              <w:spacing w:line="232" w:lineRule="exact" w:before="0"/>
              <w:ind w:left="109"/>
              <w:jc w:val="left"/>
              <w:rPr>
                <w:rFonts w:ascii="Times New Roman" w:hAnsi="Times New Roman"/>
                <w:sz w:val="22"/>
              </w:rPr>
            </w:pPr>
            <w:r>
              <w:rPr>
                <w:rFonts w:ascii="Times New Roman" w:hAnsi="Times New Roman"/>
                <w:sz w:val="22"/>
              </w:rPr>
              <w:t>Program održavanja komunalne infrastrukture</w:t>
            </w:r>
          </w:p>
        </w:tc>
        <w:tc>
          <w:tcPr>
            <w:tcW w:w="1560" w:type="dxa"/>
          </w:tcPr>
          <w:p>
            <w:pPr>
              <w:pStyle w:val="TableParagraph"/>
              <w:spacing w:line="232" w:lineRule="exact" w:before="0"/>
              <w:ind w:right="91"/>
              <w:rPr>
                <w:rFonts w:ascii="Times New Roman"/>
                <w:sz w:val="22"/>
              </w:rPr>
            </w:pPr>
            <w:r>
              <w:rPr>
                <w:rFonts w:ascii="Times New Roman"/>
                <w:sz w:val="22"/>
              </w:rPr>
              <w:t>2.658.000,00</w:t>
            </w:r>
          </w:p>
        </w:tc>
        <w:tc>
          <w:tcPr>
            <w:tcW w:w="1440" w:type="dxa"/>
          </w:tcPr>
          <w:p>
            <w:pPr>
              <w:pStyle w:val="TableParagraph"/>
              <w:spacing w:line="232" w:lineRule="exact" w:before="0"/>
              <w:ind w:right="91"/>
              <w:rPr>
                <w:rFonts w:ascii="Times New Roman"/>
                <w:sz w:val="22"/>
              </w:rPr>
            </w:pPr>
            <w:r>
              <w:rPr>
                <w:rFonts w:ascii="Times New Roman"/>
                <w:sz w:val="22"/>
              </w:rPr>
              <w:t>998.050,73</w:t>
            </w:r>
          </w:p>
        </w:tc>
        <w:tc>
          <w:tcPr>
            <w:tcW w:w="900" w:type="dxa"/>
          </w:tcPr>
          <w:p>
            <w:pPr>
              <w:pStyle w:val="TableParagraph"/>
              <w:spacing w:line="232" w:lineRule="exact" w:before="0"/>
              <w:ind w:right="94"/>
              <w:rPr>
                <w:rFonts w:ascii="Times New Roman"/>
                <w:sz w:val="22"/>
              </w:rPr>
            </w:pPr>
            <w:r>
              <w:rPr>
                <w:rFonts w:ascii="Times New Roman"/>
                <w:sz w:val="22"/>
              </w:rPr>
              <w:t>37,55</w:t>
            </w:r>
          </w:p>
        </w:tc>
      </w:tr>
      <w:tr>
        <w:trPr>
          <w:trHeight w:val="254" w:hRule="atLeast"/>
        </w:trPr>
        <w:tc>
          <w:tcPr>
            <w:tcW w:w="1534" w:type="dxa"/>
          </w:tcPr>
          <w:p>
            <w:pPr>
              <w:pStyle w:val="TableParagraph"/>
              <w:spacing w:line="234" w:lineRule="exact" w:before="0"/>
              <w:ind w:right="91"/>
              <w:rPr>
                <w:rFonts w:ascii="Times New Roman"/>
                <w:sz w:val="22"/>
              </w:rPr>
            </w:pPr>
            <w:r>
              <w:rPr>
                <w:rFonts w:ascii="Times New Roman"/>
                <w:sz w:val="22"/>
              </w:rPr>
              <w:t>4014</w:t>
            </w:r>
          </w:p>
        </w:tc>
        <w:tc>
          <w:tcPr>
            <w:tcW w:w="5556" w:type="dxa"/>
          </w:tcPr>
          <w:p>
            <w:pPr>
              <w:pStyle w:val="TableParagraph"/>
              <w:spacing w:line="234" w:lineRule="exact" w:before="0"/>
              <w:ind w:left="109"/>
              <w:jc w:val="left"/>
              <w:rPr>
                <w:rFonts w:ascii="Times New Roman" w:hAnsi="Times New Roman"/>
                <w:sz w:val="22"/>
              </w:rPr>
            </w:pPr>
            <w:r>
              <w:rPr>
                <w:rFonts w:ascii="Times New Roman" w:hAnsi="Times New Roman"/>
                <w:sz w:val="22"/>
              </w:rPr>
              <w:t>Program zaštite okoliša</w:t>
            </w:r>
          </w:p>
        </w:tc>
        <w:tc>
          <w:tcPr>
            <w:tcW w:w="1560" w:type="dxa"/>
          </w:tcPr>
          <w:p>
            <w:pPr>
              <w:pStyle w:val="TableParagraph"/>
              <w:spacing w:line="234" w:lineRule="exact" w:before="0"/>
              <w:ind w:right="94"/>
              <w:rPr>
                <w:rFonts w:ascii="Times New Roman"/>
                <w:sz w:val="22"/>
              </w:rPr>
            </w:pPr>
            <w:r>
              <w:rPr>
                <w:rFonts w:ascii="Times New Roman"/>
                <w:sz w:val="22"/>
              </w:rPr>
              <w:t>277.000,00</w:t>
            </w:r>
          </w:p>
        </w:tc>
        <w:tc>
          <w:tcPr>
            <w:tcW w:w="1440" w:type="dxa"/>
          </w:tcPr>
          <w:p>
            <w:pPr>
              <w:pStyle w:val="TableParagraph"/>
              <w:spacing w:line="234" w:lineRule="exact" w:before="0"/>
              <w:ind w:right="94"/>
              <w:rPr>
                <w:rFonts w:ascii="Times New Roman"/>
                <w:sz w:val="22"/>
              </w:rPr>
            </w:pPr>
            <w:r>
              <w:rPr>
                <w:rFonts w:ascii="Times New Roman"/>
                <w:sz w:val="22"/>
              </w:rPr>
              <w:t>65.010,55</w:t>
            </w:r>
          </w:p>
        </w:tc>
        <w:tc>
          <w:tcPr>
            <w:tcW w:w="900" w:type="dxa"/>
          </w:tcPr>
          <w:p>
            <w:pPr>
              <w:pStyle w:val="TableParagraph"/>
              <w:spacing w:line="234" w:lineRule="exact" w:before="0"/>
              <w:ind w:right="94"/>
              <w:rPr>
                <w:rFonts w:ascii="Times New Roman"/>
                <w:sz w:val="22"/>
              </w:rPr>
            </w:pPr>
            <w:r>
              <w:rPr>
                <w:rFonts w:ascii="Times New Roman"/>
                <w:sz w:val="22"/>
              </w:rPr>
              <w:t>23,47</w:t>
            </w:r>
          </w:p>
        </w:tc>
      </w:tr>
      <w:tr>
        <w:trPr>
          <w:trHeight w:val="254" w:hRule="atLeast"/>
        </w:trPr>
        <w:tc>
          <w:tcPr>
            <w:tcW w:w="1534" w:type="dxa"/>
          </w:tcPr>
          <w:p>
            <w:pPr>
              <w:pStyle w:val="TableParagraph"/>
              <w:spacing w:line="234" w:lineRule="exact" w:before="0"/>
              <w:ind w:right="91"/>
              <w:rPr>
                <w:rFonts w:ascii="Times New Roman"/>
                <w:sz w:val="22"/>
              </w:rPr>
            </w:pPr>
            <w:r>
              <w:rPr>
                <w:rFonts w:ascii="Times New Roman"/>
                <w:sz w:val="22"/>
              </w:rPr>
              <w:t>4015</w:t>
            </w:r>
          </w:p>
        </w:tc>
        <w:tc>
          <w:tcPr>
            <w:tcW w:w="5556" w:type="dxa"/>
          </w:tcPr>
          <w:p>
            <w:pPr>
              <w:pStyle w:val="TableParagraph"/>
              <w:spacing w:line="234" w:lineRule="exact" w:before="0"/>
              <w:ind w:left="109"/>
              <w:jc w:val="left"/>
              <w:rPr>
                <w:rFonts w:ascii="Times New Roman" w:hAnsi="Times New Roman"/>
                <w:sz w:val="22"/>
              </w:rPr>
            </w:pPr>
            <w:r>
              <w:rPr>
                <w:rFonts w:ascii="Times New Roman" w:hAnsi="Times New Roman"/>
                <w:sz w:val="22"/>
              </w:rPr>
              <w:t>Program energetski održivog razvoja Grada Ozlja</w:t>
            </w:r>
          </w:p>
        </w:tc>
        <w:tc>
          <w:tcPr>
            <w:tcW w:w="1560" w:type="dxa"/>
          </w:tcPr>
          <w:p>
            <w:pPr>
              <w:pStyle w:val="TableParagraph"/>
              <w:spacing w:line="234" w:lineRule="exact" w:before="0"/>
              <w:ind w:right="94"/>
              <w:rPr>
                <w:rFonts w:ascii="Times New Roman"/>
                <w:sz w:val="22"/>
              </w:rPr>
            </w:pPr>
            <w:r>
              <w:rPr>
                <w:rFonts w:ascii="Times New Roman"/>
                <w:sz w:val="22"/>
              </w:rPr>
              <w:t>71.000,00</w:t>
            </w:r>
          </w:p>
        </w:tc>
        <w:tc>
          <w:tcPr>
            <w:tcW w:w="1440" w:type="dxa"/>
          </w:tcPr>
          <w:p>
            <w:pPr>
              <w:pStyle w:val="TableParagraph"/>
              <w:spacing w:line="234" w:lineRule="exact" w:before="0"/>
              <w:ind w:right="94"/>
              <w:rPr>
                <w:rFonts w:ascii="Times New Roman"/>
                <w:sz w:val="22"/>
              </w:rPr>
            </w:pPr>
            <w:r>
              <w:rPr>
                <w:rFonts w:ascii="Times New Roman"/>
                <w:sz w:val="22"/>
              </w:rPr>
              <w:t>26.800,00</w:t>
            </w:r>
          </w:p>
        </w:tc>
        <w:tc>
          <w:tcPr>
            <w:tcW w:w="900" w:type="dxa"/>
          </w:tcPr>
          <w:p>
            <w:pPr>
              <w:pStyle w:val="TableParagraph"/>
              <w:spacing w:line="234" w:lineRule="exact" w:before="0"/>
              <w:ind w:right="94"/>
              <w:rPr>
                <w:rFonts w:ascii="Times New Roman"/>
                <w:sz w:val="22"/>
              </w:rPr>
            </w:pPr>
            <w:r>
              <w:rPr>
                <w:rFonts w:ascii="Times New Roman"/>
                <w:sz w:val="22"/>
              </w:rPr>
              <w:t>37,75</w:t>
            </w:r>
          </w:p>
        </w:tc>
      </w:tr>
      <w:tr>
        <w:trPr>
          <w:trHeight w:val="251" w:hRule="atLeast"/>
        </w:trPr>
        <w:tc>
          <w:tcPr>
            <w:tcW w:w="1534" w:type="dxa"/>
          </w:tcPr>
          <w:p>
            <w:pPr>
              <w:pStyle w:val="TableParagraph"/>
              <w:spacing w:before="0"/>
              <w:jc w:val="left"/>
              <w:rPr>
                <w:rFonts w:ascii="Times New Roman"/>
                <w:sz w:val="18"/>
              </w:rPr>
            </w:pPr>
          </w:p>
        </w:tc>
        <w:tc>
          <w:tcPr>
            <w:tcW w:w="5556" w:type="dxa"/>
          </w:tcPr>
          <w:p>
            <w:pPr>
              <w:pStyle w:val="TableParagraph"/>
              <w:spacing w:line="232" w:lineRule="exact" w:before="0"/>
              <w:ind w:left="109"/>
              <w:jc w:val="left"/>
              <w:rPr>
                <w:rFonts w:ascii="Times New Roman"/>
                <w:b/>
                <w:sz w:val="22"/>
              </w:rPr>
            </w:pPr>
            <w:r>
              <w:rPr>
                <w:rFonts w:ascii="Times New Roman"/>
                <w:b/>
                <w:sz w:val="22"/>
              </w:rPr>
              <w:t>UKUPNO:</w:t>
            </w:r>
          </w:p>
        </w:tc>
        <w:tc>
          <w:tcPr>
            <w:tcW w:w="1560" w:type="dxa"/>
          </w:tcPr>
          <w:p>
            <w:pPr>
              <w:pStyle w:val="TableParagraph"/>
              <w:spacing w:line="232" w:lineRule="exact" w:before="0"/>
              <w:ind w:right="94"/>
              <w:rPr>
                <w:rFonts w:ascii="Times New Roman"/>
                <w:b/>
                <w:sz w:val="22"/>
              </w:rPr>
            </w:pPr>
            <w:r>
              <w:rPr>
                <w:rFonts w:ascii="Times New Roman"/>
                <w:b/>
                <w:sz w:val="22"/>
              </w:rPr>
              <w:t>20.418.660,87</w:t>
            </w:r>
          </w:p>
        </w:tc>
        <w:tc>
          <w:tcPr>
            <w:tcW w:w="1440" w:type="dxa"/>
          </w:tcPr>
          <w:p>
            <w:pPr>
              <w:pStyle w:val="TableParagraph"/>
              <w:spacing w:line="232" w:lineRule="exact" w:before="0"/>
              <w:ind w:right="94"/>
              <w:rPr>
                <w:rFonts w:ascii="Times New Roman"/>
                <w:b/>
                <w:sz w:val="22"/>
              </w:rPr>
            </w:pPr>
            <w:r>
              <w:rPr>
                <w:rFonts w:ascii="Times New Roman"/>
                <w:b/>
                <w:sz w:val="22"/>
              </w:rPr>
              <w:t>6.305.627,45</w:t>
            </w:r>
          </w:p>
        </w:tc>
        <w:tc>
          <w:tcPr>
            <w:tcW w:w="900" w:type="dxa"/>
          </w:tcPr>
          <w:p>
            <w:pPr>
              <w:pStyle w:val="TableParagraph"/>
              <w:spacing w:line="232" w:lineRule="exact" w:before="0"/>
              <w:ind w:right="94"/>
              <w:rPr>
                <w:rFonts w:ascii="Times New Roman"/>
                <w:b/>
                <w:sz w:val="22"/>
              </w:rPr>
            </w:pPr>
            <w:r>
              <w:rPr>
                <w:rFonts w:ascii="Times New Roman"/>
                <w:b/>
                <w:sz w:val="22"/>
              </w:rPr>
              <w:t>30,88</w:t>
            </w:r>
          </w:p>
        </w:tc>
      </w:tr>
    </w:tbl>
    <w:p>
      <w:pPr>
        <w:pStyle w:val="BodyText"/>
        <w:spacing w:before="1"/>
        <w:rPr>
          <w:sz w:val="15"/>
        </w:rPr>
      </w:pPr>
    </w:p>
    <w:p>
      <w:pPr>
        <w:pStyle w:val="BodyText"/>
        <w:spacing w:before="90" w:after="8"/>
        <w:ind w:left="716"/>
      </w:pPr>
      <w:r>
        <w:rPr/>
        <w:t>Učešće rashoda obzirom na Razdjele Proračuna u ukupno ostvarenim rashodima je slijedeće:</w:t>
      </w:r>
    </w:p>
    <w:p>
      <w:pPr>
        <w:pStyle w:val="BodyText"/>
        <w:ind w:left="723"/>
        <w:rPr>
          <w:sz w:val="20"/>
        </w:rPr>
      </w:pPr>
      <w:r>
        <w:rPr>
          <w:sz w:val="20"/>
        </w:rPr>
        <w:drawing>
          <wp:inline distT="0" distB="0" distL="0" distR="0">
            <wp:extent cx="5754623" cy="2444496"/>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6" cstate="print"/>
                    <a:stretch>
                      <a:fillRect/>
                    </a:stretch>
                  </pic:blipFill>
                  <pic:spPr>
                    <a:xfrm>
                      <a:off x="0" y="0"/>
                      <a:ext cx="5754623" cy="2444496"/>
                    </a:xfrm>
                    <a:prstGeom prst="rect">
                      <a:avLst/>
                    </a:prstGeom>
                  </pic:spPr>
                </pic:pic>
              </a:graphicData>
            </a:graphic>
          </wp:inline>
        </w:drawing>
      </w:r>
      <w:r>
        <w:rPr>
          <w:sz w:val="20"/>
        </w:rPr>
      </w:r>
    </w:p>
    <w:p>
      <w:pPr>
        <w:pStyle w:val="BodyText"/>
        <w:spacing w:before="3"/>
        <w:rPr>
          <w:sz w:val="23"/>
        </w:rPr>
      </w:pPr>
    </w:p>
    <w:p>
      <w:pPr>
        <w:pStyle w:val="BodyText"/>
        <w:ind w:left="1256" w:right="1393" w:firstLine="708"/>
        <w:jc w:val="both"/>
      </w:pPr>
      <w:r>
        <w:rPr/>
        <w:t>Učešće </w:t>
      </w:r>
      <w:r>
        <w:rPr>
          <w:b/>
        </w:rPr>
        <w:t>Razdjela 001 </w:t>
      </w:r>
      <w:r>
        <w:rPr/>
        <w:t>u ukupnim rashodima ostvarenima u prvom polugodištu 2014. godine iznosi 3%. Izvršenje Programa redovne djelatnosti Gradskog vijeća i Gradonačelnice u prvom polugodištu 2014. godini iznosi 74,89%. U svrhu realizacije predmetnog programa utrošena su sredstva u iznosu od 221.679,25 kn, od čega se najveći dio odnosi na troškove izbora članova vijeća Mjesnih odbora (79.553,15 kn) i na naknade dužnosnicima i članovima Gradskog vijeća (44.627,12 kn), zatim slijede sredstva za reprezentaciju i rashode protokola (37.138,11 kn), i sredstva za rad političkih stranaka (31.000,00 kn). Najmanje, 29.360,87 kn, je izdvojeno za naknadu zamjenici</w:t>
      </w:r>
      <w:r>
        <w:rPr>
          <w:spacing w:val="-1"/>
        </w:rPr>
        <w:t> </w:t>
      </w:r>
      <w:r>
        <w:rPr/>
        <w:t>gradonačelnice.</w:t>
      </w:r>
    </w:p>
    <w:p>
      <w:pPr>
        <w:pStyle w:val="BodyText"/>
        <w:ind w:left="1256" w:right="1392" w:firstLine="708"/>
        <w:jc w:val="both"/>
      </w:pPr>
      <w:r>
        <w:rPr/>
        <w:t>Na rashode u okviru </w:t>
      </w:r>
      <w:r>
        <w:rPr>
          <w:b/>
        </w:rPr>
        <w:t>Razdjela 002: </w:t>
      </w:r>
      <w:r>
        <w:rPr/>
        <w:t>Upravnog odjela za opće poslove i društvene djelatnosti otpada najveći dio, 40% ukupnih rashoda. Utrošeno je 2.528.439,06 kn, od čega se najviše odnosi na rashode za obavljanje djelatnosti proračunskih korisnika. Unutar ukupnih rashoda Razdjela 002, na rashode proračunskih korisnika odnosi se iznos od 1.846.315,83 kn što predstavlja 73,02% ukupnih rashoda razdjela. Učešće rashoda proračunskih korisnika u ukupnim rashodima Proračuna Grada Ozlja za 2013. godinu iznosi 29,28%.</w:t>
      </w:r>
    </w:p>
    <w:p>
      <w:pPr>
        <w:pStyle w:val="BodyText"/>
        <w:ind w:left="1256" w:right="1392" w:firstLine="708"/>
        <w:jc w:val="both"/>
      </w:pPr>
      <w:r>
        <w:rPr/>
        <w:t>U okviru ostalih rashoda Upravnog odjela za opće poslove i društvene djelatnosti (bez rashoda proračunskih korisnika) najviše je izdvojeno za Program socijalne skrbi. Na rashode za Program socijalne skrbi, za koji je izdvojeno 248.055,56 kn, otpada 3,93% ukupnih rashoda proračuna. Najveće izvršenje u odnosu na plan bilježi Program razvoja civilnog društva za koji je izdvojeno 181.199,67 kn. Izvršenje Programa javnih potreba u kulturi iznosi 55,93%. Troškovi vezani za program su u prvom polugodištu iznosili 149.900,00 kn od čega se najveći dio odnosi na financiranje redovne djelatnosti kulturno umjetničkih društava. Za Program javnih potreba u sportu izdvojeno je ukupno 66.000,00 kn. U prvoj polovici godine ZSUGO</w:t>
      </w:r>
      <w:r>
        <w:rPr>
          <w:spacing w:val="24"/>
        </w:rPr>
        <w:t> </w:t>
      </w:r>
      <w:r>
        <w:rPr/>
        <w:t>je</w:t>
      </w:r>
      <w:r>
        <w:rPr>
          <w:spacing w:val="25"/>
        </w:rPr>
        <w:t> </w:t>
      </w:r>
      <w:r>
        <w:rPr/>
        <w:t>isplaćeno</w:t>
      </w:r>
      <w:r>
        <w:rPr>
          <w:spacing w:val="26"/>
        </w:rPr>
        <w:t> </w:t>
      </w:r>
      <w:r>
        <w:rPr/>
        <w:t>6</w:t>
      </w:r>
      <w:r>
        <w:rPr>
          <w:spacing w:val="25"/>
        </w:rPr>
        <w:t> </w:t>
      </w:r>
      <w:r>
        <w:rPr/>
        <w:t>mjesečnih</w:t>
      </w:r>
      <w:r>
        <w:rPr>
          <w:spacing w:val="24"/>
        </w:rPr>
        <w:t> </w:t>
      </w:r>
      <w:r>
        <w:rPr/>
        <w:t>akontacija</w:t>
      </w:r>
      <w:r>
        <w:rPr>
          <w:spacing w:val="24"/>
        </w:rPr>
        <w:t> </w:t>
      </w:r>
      <w:r>
        <w:rPr/>
        <w:t>po</w:t>
      </w:r>
      <w:r>
        <w:rPr>
          <w:spacing w:val="25"/>
        </w:rPr>
        <w:t> </w:t>
      </w:r>
      <w:r>
        <w:rPr/>
        <w:t>11.000,00</w:t>
      </w:r>
      <w:r>
        <w:rPr>
          <w:spacing w:val="25"/>
        </w:rPr>
        <w:t> </w:t>
      </w:r>
      <w:r>
        <w:rPr/>
        <w:t>kn.</w:t>
      </w:r>
      <w:r>
        <w:rPr>
          <w:spacing w:val="25"/>
        </w:rPr>
        <w:t> </w:t>
      </w:r>
      <w:r>
        <w:rPr/>
        <w:t>Najveće</w:t>
      </w:r>
      <w:r>
        <w:rPr>
          <w:spacing w:val="24"/>
        </w:rPr>
        <w:t> </w:t>
      </w:r>
      <w:r>
        <w:rPr/>
        <w:t>odstupanje</w:t>
      </w:r>
      <w:r>
        <w:rPr>
          <w:spacing w:val="25"/>
        </w:rPr>
        <w:t> </w:t>
      </w:r>
      <w:r>
        <w:rPr/>
        <w:t>od</w:t>
      </w:r>
      <w:r>
        <w:rPr>
          <w:spacing w:val="25"/>
        </w:rPr>
        <w:t> </w:t>
      </w:r>
      <w:r>
        <w:rPr/>
        <w:t>plana</w:t>
      </w:r>
    </w:p>
    <w:p>
      <w:pPr>
        <w:spacing w:after="0"/>
        <w:jc w:val="both"/>
        <w:sectPr>
          <w:pgSz w:w="11910" w:h="16840"/>
          <w:pgMar w:header="0" w:footer="769" w:top="980" w:bottom="980" w:left="160" w:right="20"/>
        </w:sectPr>
      </w:pPr>
    </w:p>
    <w:p>
      <w:pPr>
        <w:pStyle w:val="BodyText"/>
        <w:spacing w:before="68"/>
        <w:ind w:left="1256" w:right="1386"/>
      </w:pPr>
      <w:r>
        <w:rPr/>
        <w:t>bilježi Program javnih potreba u školstvu, 43,49%, za koji je izdvojeno 36.968,00 kn. U prvoj polovici 2014. godine stipendirano je 7 studenata i 5 učenika.</w:t>
      </w:r>
    </w:p>
    <w:p>
      <w:pPr>
        <w:pStyle w:val="BodyText"/>
        <w:spacing w:before="11"/>
        <w:rPr>
          <w:sz w:val="23"/>
        </w:rPr>
      </w:pPr>
    </w:p>
    <w:p>
      <w:pPr>
        <w:pStyle w:val="BodyText"/>
        <w:ind w:left="1256" w:right="1389" w:firstLine="708"/>
        <w:jc w:val="both"/>
      </w:pPr>
      <w:r>
        <w:rPr/>
        <w:t>Za realizaciju programa </w:t>
      </w:r>
      <w:r>
        <w:rPr>
          <w:b/>
        </w:rPr>
        <w:t>Razdjela 003</w:t>
      </w:r>
      <w:r>
        <w:rPr/>
        <w:t>: Upravnog odjela za financije i gospodarstvo utrošeno je ukupno 1.813.153,11 kn što predstavlja 29% ukupnih rashoda ostvarenih u prvoj polovici 2014. godine. Izvršenje u odnosu na plan iznosi 42,12%. Najviše je izdvojeno za Program javne uprave i administracije (1.263.288,20 kn), Program poticanja razvoja turizma (231.139,68 kn), koji ima i najveći postotak izvršenja u odnosu na plan, te za Program javnih potreba u vatrogastvu (150.000,00 kn). Za Program poticanja poljoprivredne proizvodnje izdvojeno je 115.201,54 kn od čega se na isplatu poticaja poljoprivrednicima odnosi iznos od 8.334,54 kn, a na realizaciju projekta „Gradskih vrtova“ odnosi se iznos od 106.867,00 kn. Troškovi Programa kreditnog zaduženja iznosili su 44.000,00 kn što se odnosi na naknadu za obradu kredita za izgradnju uređaja za pročišćavanje otpadnih voda. Izdaci za Program zaštite i spašavanja u iznosu od 7.500,00 kn odnose se na donaciju HGSS za obavljanje redovite djelatnosti. U prvoj polovici 2014. godine nije bilo izvršenja Programa izrade planske dokumentacije u sklopu kojeg je planirana izrada Strategije razvoja Grada Ozlja, a izvršenje Programa razvoja malog i srednjeg poduzetništva i Programa upravljanja imovinom je neznatno. Što se tiče Programa razvoja malog i srednjeg poduzetništva u okviru kojeg se vrši sufinanciranje kamata na kredite poduzetnika, u prvoj polovici godine nije bilo novih zahtjeva za predmetnom subvencijom. Izvršenje Programa upravljanja imovinom se očekuje u drugoj polovici 2014. godine kada je planiran dovršetak izrade projektne dokumentacije za proširenje Dječjeg vrtića Zvončić te ulaganja u objekte u vlasništvu Grada (zamjena preostalog dijela stolarije na zgradi u ulici Zrinskih i Frankopana</w:t>
      </w:r>
      <w:r>
        <w:rPr>
          <w:spacing w:val="-5"/>
        </w:rPr>
        <w:t> </w:t>
      </w:r>
      <w:r>
        <w:rPr/>
        <w:t>15).</w:t>
      </w:r>
    </w:p>
    <w:p>
      <w:pPr>
        <w:pStyle w:val="BodyText"/>
      </w:pPr>
    </w:p>
    <w:p>
      <w:pPr>
        <w:pStyle w:val="BodyText"/>
        <w:spacing w:before="1"/>
        <w:ind w:left="1256" w:right="1392" w:firstLine="1068"/>
        <w:jc w:val="both"/>
      </w:pPr>
      <w:r>
        <w:rPr/>
        <w:t>Rashodi </w:t>
      </w:r>
      <w:r>
        <w:rPr>
          <w:b/>
        </w:rPr>
        <w:t>Razdjela 004</w:t>
      </w:r>
      <w:r>
        <w:rPr/>
        <w:t>: UO za urbanizam i komunalne djelatnosti sudjeluju u ukupnim rashodima Proračuna Grada Ozlja za prvo polugodište 2014. godine sa 28% i iznose 1.742.356,03 kn. Izvršenje planiranih rashoda u okviru ovog Razdjela iznosi 16,83%. Najveći dio troškova odnosi se na realizaciju Programa održavanja komunalne infrastrukture (998.050,73 kn) te na realizaciju Programa izgradnje komunalne infrastrukture (503.157,54 kn). Kod Programa održavanja komunalne infrastrukture, u prvoj polovici godine, najviše je izdvojeno za održavanje javne rasvjete i održavanje javnih površina. U sklopu održavanja nerazvrstanih cesta izvršena je sanacija cesta u naseljima Vrškovac, Stojavnice, Polje Ozaljsko, Kaptol, Jaškovo, Slapno, Belinsko selo, u ulicama A.Šenoe, Kurilovac, Podgraj i dr. Razlog malog postotka izvršenja Programa izgradnje komunalne infrastrukture (7,43%) je početak realizacije Projekta izgradnje pročistača otpadnih voda tek u mjesecu lipnju 2014. godine. Prva obračunska situacija za izvedene radove očekuje tek u mjesecu rujnu 2014. godine. Za Program prostornog planiranja i uređenja grada izdvojeno je 149.337,21 kn od čega se na geodetsko katastarske usluge te usluge izrade projektne dokumentacije odnosi iznos od 55.178,21 kn (geodetske snimke izvedenog stanja i naknade za zadržavanje zgrada u prostoru za mrtvačnice, katastarske izmjere, idejna rješenja za prilaze invalidima u zgrade javne namjene), a na troškove nabave dugotrajne imovine (zemljišta i sl.) je izdvojeno 94.159,00 kn. Unutar Programa zaštite okoliša, za koji je izdvojeno 65.010,55 kn, najveći dio troškova se odnosi na naknadu za odlaganje otpada na deponiji Ilovac, 51.477,95 kn, a za zbrinjavanje napuštenih životinja je utrošeno 12.282,60 kn. U sklopu Programa energetski održivog razvoja grada Ozlja izrađen je energetski certifikat za zgradu u ulici Zrinskih i Frankopana. Trošak izrade certifikata je iznosio 26.800,00 kn od čega Fond za zaštitu okoliša sufinancira dio od 10.720,00</w:t>
      </w:r>
      <w:r>
        <w:rPr>
          <w:spacing w:val="-5"/>
        </w:rPr>
        <w:t> </w:t>
      </w:r>
      <w:r>
        <w:rPr/>
        <w:t>kn.</w:t>
      </w:r>
    </w:p>
    <w:sectPr>
      <w:pgSz w:w="11910" w:h="16840"/>
      <w:pgMar w:header="0" w:footer="769" w:top="900" w:bottom="980" w:left="160" w:right="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Century">
    <w:altName w:val="Century"/>
    <w:charset w:val="0"/>
    <w:family w:val="roman"/>
    <w:pitch w:val="variable"/>
  </w:font>
  <w:font w:name="Verdana">
    <w:altName w:val="Verdana"/>
    <w:charset w:val="0"/>
    <w:family w:val="swiss"/>
    <w:pitch w:val="variable"/>
  </w:font>
  <w:font w:name="Arial">
    <w:altName w:val="Arial"/>
    <w:charset w:val="0"/>
    <w:family w:val="swiss"/>
    <w:pitch w:val="variable"/>
  </w:font>
  <w:font w:name="Lucida Sans Unicode">
    <w:altName w:val="Lucida Sans Unicode"/>
    <w:charset w:val="0"/>
    <w:family w:val="swiss"/>
    <w:pitch w:val="variable"/>
  </w:font>
  <w:font w:name="Trebuchet MS">
    <w:altName w:val="Trebuchet MS"/>
    <w:charset w:val="0"/>
    <w:family w:val="swiss"/>
    <w:pitch w:val="variable"/>
  </w:font>
  <w:font w:name="Palatino Linotype">
    <w:altName w:val="Palatino Linotype"/>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2.670582pt;margin-top:544.258362pt;width:21.6pt;height:10pt;mso-position-horizontal-relative:page;mso-position-vertical-relative:page;z-index:-31112704" type="#_x0000_t202" filled="false" stroked="false">
          <v:textbox inset="0,0,0,0">
            <w:txbxContent>
              <w:p>
                <w:pPr>
                  <w:spacing w:line="181" w:lineRule="exact" w:before="0"/>
                  <w:ind w:left="20" w:right="0" w:firstLine="0"/>
                  <w:jc w:val="left"/>
                  <w:rPr>
                    <w:rFonts w:ascii="Verdana"/>
                    <w:sz w:val="16"/>
                  </w:rPr>
                </w:pPr>
                <w:r>
                  <w:rPr>
                    <w:rFonts w:ascii="Verdana"/>
                    <w:sz w:val="16"/>
                  </w:rPr>
                  <w:t>Str.2</w:t>
                </w:r>
              </w:p>
            </w:txbxContent>
          </v:textbox>
          <w10:wrap type="none"/>
        </v:shape>
      </w:pict>
    </w:r>
    <w:r>
      <w:rPr/>
      <w:pict>
        <v:shape style="position:absolute;margin-left:731.110718pt;margin-top:544.094604pt;width:76.350pt;height:19.55pt;mso-position-horizontal-relative:page;mso-position-vertical-relative:page;z-index:-31112192" type="#_x0000_t202" filled="false" stroked="false">
          <v:textbox inset="0,0,0,0">
            <w:txbxContent>
              <w:p>
                <w:pPr>
                  <w:spacing w:line="181" w:lineRule="exact" w:before="0"/>
                  <w:ind w:left="20" w:right="0" w:firstLine="0"/>
                  <w:jc w:val="left"/>
                  <w:rPr>
                    <w:sz w:val="16"/>
                  </w:rPr>
                </w:pPr>
                <w:r>
                  <w:rPr>
                    <w:sz w:val="16"/>
                  </w:rPr>
                  <w:t>Informatička</w:t>
                </w:r>
                <w:r>
                  <w:rPr>
                    <w:spacing w:val="-10"/>
                    <w:sz w:val="16"/>
                  </w:rPr>
                  <w:t> </w:t>
                </w:r>
                <w:r>
                  <w:rPr>
                    <w:sz w:val="16"/>
                  </w:rPr>
                  <w:t>obrada:</w:t>
                </w:r>
              </w:p>
              <w:p>
                <w:pPr>
                  <w:spacing w:line="191" w:lineRule="exact" w:before="0"/>
                  <w:ind w:left="358" w:right="0" w:firstLine="0"/>
                  <w:jc w:val="left"/>
                  <w:rPr>
                    <w:rFonts w:ascii="Verdana"/>
                    <w:sz w:val="16"/>
                  </w:rPr>
                </w:pPr>
                <w:r>
                  <w:rPr>
                    <w:rFonts w:ascii="Verdana"/>
                    <w:w w:val="105"/>
                    <w:sz w:val="16"/>
                  </w:rPr>
                  <w:t>Municipal</w:t>
                </w:r>
                <w:r>
                  <w:rPr>
                    <w:rFonts w:ascii="Verdana"/>
                    <w:spacing w:val="-43"/>
                    <w:w w:val="105"/>
                    <w:sz w:val="16"/>
                  </w:rPr>
                  <w:t> </w:t>
                </w:r>
                <w:r>
                  <w:rPr>
                    <w:rFonts w:ascii="Verdana"/>
                    <w:color w:val="FF0000"/>
                    <w:w w:val="105"/>
                    <w:sz w:val="16"/>
                  </w:rPr>
                  <w:t>Soft</w:t>
                </w:r>
              </w:p>
            </w:txbxContent>
          </v:textbox>
          <w10:wrap type="none"/>
        </v:shape>
      </w:pict>
    </w:r>
    <w:r>
      <w:rPr/>
      <w:pict>
        <v:shape style="position:absolute;margin-left:697.510742pt;margin-top:554.89978pt;width:24.25pt;height:8pt;mso-position-horizontal-relative:page;mso-position-vertical-relative:page;z-index:-31111680" type="#_x0000_t202" filled="false" stroked="false">
          <v:textbox inset="0,0,0,0">
            <w:txbxContent>
              <w:p>
                <w:pPr>
                  <w:spacing w:line="136" w:lineRule="exact" w:before="0"/>
                  <w:ind w:left="20" w:right="0" w:firstLine="0"/>
                  <w:jc w:val="left"/>
                  <w:rPr>
                    <w:rFonts w:ascii="Times New Roman"/>
                    <w:sz w:val="12"/>
                  </w:rPr>
                </w:pPr>
                <w:r>
                  <w:rPr>
                    <w:rFonts w:ascii="Times New Roman"/>
                    <w:color w:val="3F003F"/>
                    <w:sz w:val="12"/>
                  </w:rPr>
                  <w:t>rptE4L-2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2.590637pt;margin-top:542.159973pt;width:768.359983pt;height:.96pt;mso-position-horizontal-relative:page;mso-position-vertical-relative:page;z-index:-31111168" filled="true" fillcolor="#000000" stroked="false">
          <v:fill type="solid"/>
          <w10:wrap type="none"/>
        </v:rect>
      </w:pict>
    </w:r>
    <w:r>
      <w:rPr/>
      <w:pict>
        <v:shape style="position:absolute;margin-left:42.670582pt;margin-top:544.258362pt;width:23.6pt;height:10pt;mso-position-horizontal-relative:page;mso-position-vertical-relative:page;z-index:-31110656" type="#_x0000_t202" filled="false" stroked="false">
          <v:textbox inset="0,0,0,0">
            <w:txbxContent>
              <w:p>
                <w:pPr>
                  <w:spacing w:line="181" w:lineRule="exact" w:before="0"/>
                  <w:ind w:left="20" w:right="0" w:firstLine="0"/>
                  <w:jc w:val="left"/>
                  <w:rPr>
                    <w:rFonts w:ascii="Verdana"/>
                    <w:sz w:val="16"/>
                  </w:rPr>
                </w:pPr>
                <w:r>
                  <w:rPr>
                    <w:rFonts w:ascii="Verdana"/>
                    <w:sz w:val="16"/>
                  </w:rPr>
                  <w:t>Str.</w:t>
                </w:r>
                <w:r>
                  <w:rPr/>
                  <w:fldChar w:fldCharType="begin"/>
                </w:r>
                <w:r>
                  <w:rPr>
                    <w:rFonts w:ascii="Verdana"/>
                    <w:sz w:val="16"/>
                  </w:rPr>
                  <w:instrText> PAGE </w:instrText>
                </w:r>
                <w:r>
                  <w:rPr/>
                  <w:fldChar w:fldCharType="separate"/>
                </w:r>
                <w:r>
                  <w:rPr/>
                  <w:t>3</w:t>
                </w:r>
                <w:r>
                  <w:rPr/>
                  <w:fldChar w:fldCharType="end"/>
                </w:r>
              </w:p>
            </w:txbxContent>
          </v:textbox>
          <w10:wrap type="none"/>
        </v:shape>
      </w:pict>
    </w:r>
    <w:r>
      <w:rPr/>
      <w:pict>
        <v:shape style="position:absolute;margin-left:731.110718pt;margin-top:544.094604pt;width:76.350pt;height:19.55pt;mso-position-horizontal-relative:page;mso-position-vertical-relative:page;z-index:-31110144" type="#_x0000_t202" filled="false" stroked="false">
          <v:textbox inset="0,0,0,0">
            <w:txbxContent>
              <w:p>
                <w:pPr>
                  <w:spacing w:line="181" w:lineRule="exact" w:before="0"/>
                  <w:ind w:left="20" w:right="0" w:firstLine="0"/>
                  <w:jc w:val="left"/>
                  <w:rPr>
                    <w:sz w:val="16"/>
                  </w:rPr>
                </w:pPr>
                <w:r>
                  <w:rPr>
                    <w:sz w:val="16"/>
                  </w:rPr>
                  <w:t>Informatička</w:t>
                </w:r>
                <w:r>
                  <w:rPr>
                    <w:spacing w:val="-10"/>
                    <w:sz w:val="16"/>
                  </w:rPr>
                  <w:t> </w:t>
                </w:r>
                <w:r>
                  <w:rPr>
                    <w:sz w:val="16"/>
                  </w:rPr>
                  <w:t>obrada:</w:t>
                </w:r>
              </w:p>
              <w:p>
                <w:pPr>
                  <w:spacing w:line="191" w:lineRule="exact" w:before="0"/>
                  <w:ind w:left="358" w:right="0" w:firstLine="0"/>
                  <w:jc w:val="left"/>
                  <w:rPr>
                    <w:rFonts w:ascii="Verdana"/>
                    <w:sz w:val="16"/>
                  </w:rPr>
                </w:pPr>
                <w:r>
                  <w:rPr>
                    <w:rFonts w:ascii="Verdana"/>
                    <w:w w:val="105"/>
                    <w:sz w:val="16"/>
                  </w:rPr>
                  <w:t>Municipal</w:t>
                </w:r>
                <w:r>
                  <w:rPr>
                    <w:rFonts w:ascii="Verdana"/>
                    <w:spacing w:val="-43"/>
                    <w:w w:val="105"/>
                    <w:sz w:val="16"/>
                  </w:rPr>
                  <w:t> </w:t>
                </w:r>
                <w:r>
                  <w:rPr>
                    <w:rFonts w:ascii="Verdana"/>
                    <w:color w:val="FF0000"/>
                    <w:w w:val="105"/>
                    <w:sz w:val="16"/>
                  </w:rPr>
                  <w:t>Soft</w:t>
                </w:r>
              </w:p>
            </w:txbxContent>
          </v:textbox>
          <w10:wrap type="none"/>
        </v:shape>
      </w:pict>
    </w:r>
    <w:r>
      <w:rPr/>
      <w:pict>
        <v:shape style="position:absolute;margin-left:697.510742pt;margin-top:554.89978pt;width:24.25pt;height:8pt;mso-position-horizontal-relative:page;mso-position-vertical-relative:page;z-index:-31109632" type="#_x0000_t202" filled="false" stroked="false">
          <v:textbox inset="0,0,0,0">
            <w:txbxContent>
              <w:p>
                <w:pPr>
                  <w:spacing w:line="136" w:lineRule="exact" w:before="0"/>
                  <w:ind w:left="20" w:right="0" w:firstLine="0"/>
                  <w:jc w:val="left"/>
                  <w:rPr>
                    <w:rFonts w:ascii="Times New Roman"/>
                    <w:sz w:val="12"/>
                  </w:rPr>
                </w:pPr>
                <w:r>
                  <w:rPr>
                    <w:rFonts w:ascii="Times New Roman"/>
                    <w:color w:val="3F003F"/>
                    <w:sz w:val="12"/>
                  </w:rPr>
                  <w:t>rptE4L-2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5.950684pt;margin-top:542.785522pt;width:76.350pt;height:10pt;mso-position-horizontal-relative:page;mso-position-vertical-relative:page;z-index:-31109120" type="#_x0000_t202" filled="false" stroked="false">
          <v:textbox inset="0,0,0,0">
            <w:txbxContent>
              <w:p>
                <w:pPr>
                  <w:spacing w:line="183" w:lineRule="exact" w:before="17"/>
                  <w:ind w:left="20" w:right="0" w:firstLine="0"/>
                  <w:jc w:val="left"/>
                  <w:rPr>
                    <w:sz w:val="16"/>
                  </w:rPr>
                </w:pPr>
                <w:r>
                  <w:rPr>
                    <w:sz w:val="16"/>
                  </w:rPr>
                  <w:t>Informatička obrada:</w:t>
                </w:r>
              </w:p>
            </w:txbxContent>
          </v:textbox>
          <w10:wrap type="none"/>
        </v:shape>
      </w:pict>
    </w:r>
    <w:r>
      <w:rPr/>
      <w:pict>
        <v:shape style="position:absolute;margin-left:42.670582pt;margin-top:544.258362pt;width:26.75pt;height:10pt;mso-position-horizontal-relative:page;mso-position-vertical-relative:page;z-index:-31108608" type="#_x0000_t202" filled="false" stroked="false">
          <v:textbox inset="0,0,0,0">
            <w:txbxContent>
              <w:p>
                <w:pPr>
                  <w:spacing w:line="181" w:lineRule="exact" w:before="0"/>
                  <w:ind w:left="20" w:right="0" w:firstLine="0"/>
                  <w:jc w:val="left"/>
                  <w:rPr>
                    <w:rFonts w:ascii="Verdana"/>
                    <w:sz w:val="16"/>
                  </w:rPr>
                </w:pPr>
                <w:r>
                  <w:rPr>
                    <w:rFonts w:ascii="Verdana"/>
                    <w:sz w:val="16"/>
                  </w:rPr>
                  <w:t>Str.10</w:t>
                </w:r>
              </w:p>
            </w:txbxContent>
          </v:textbox>
          <w10:wrap type="none"/>
        </v:shape>
      </w:pict>
    </w:r>
    <w:r>
      <w:rPr/>
      <w:pict>
        <v:shape style="position:absolute;margin-left:745.510864pt;margin-top:555.538391pt;width:57pt;height:10.25pt;mso-position-horizontal-relative:page;mso-position-vertical-relative:page;z-index:-31108096" type="#_x0000_t202" filled="false" stroked="false">
          <v:textbox inset="0,0,0,0">
            <w:txbxContent>
              <w:p>
                <w:pPr>
                  <w:spacing w:line="186" w:lineRule="exact" w:before="0"/>
                  <w:ind w:left="20" w:right="0" w:firstLine="0"/>
                  <w:jc w:val="left"/>
                  <w:rPr>
                    <w:rFonts w:ascii="Verdana"/>
                    <w:sz w:val="16"/>
                  </w:rPr>
                </w:pPr>
                <w:r>
                  <w:rPr>
                    <w:rFonts w:ascii="Verdana"/>
                    <w:sz w:val="16"/>
                  </w:rPr>
                  <w:t>Municipal</w:t>
                </w:r>
                <w:r>
                  <w:rPr>
                    <w:rFonts w:ascii="Verdana"/>
                    <w:color w:val="FF0000"/>
                    <w:sz w:val="16"/>
                  </w:rPr>
                  <w:t>Soft</w:t>
                </w:r>
              </w:p>
            </w:txbxContent>
          </v:textbox>
          <w10:wrap type="none"/>
        </v:shape>
      </w:pict>
    </w:r>
    <w:r>
      <w:rPr/>
      <w:pict>
        <v:shape style="position:absolute;margin-left:680.110718pt;margin-top:558.019775pt;width:24pt;height:8pt;mso-position-horizontal-relative:page;mso-position-vertical-relative:page;z-index:-31107584" type="#_x0000_t202" filled="false" stroked="false">
          <v:textbox inset="0,0,0,0">
            <w:txbxContent>
              <w:p>
                <w:pPr>
                  <w:spacing w:line="137" w:lineRule="exact" w:before="0"/>
                  <w:ind w:left="20" w:right="0" w:firstLine="0"/>
                  <w:jc w:val="left"/>
                  <w:rPr>
                    <w:rFonts w:ascii="Trebuchet MS"/>
                    <w:sz w:val="12"/>
                  </w:rPr>
                </w:pPr>
                <w:r>
                  <w:rPr>
                    <w:rFonts w:ascii="Trebuchet MS"/>
                    <w:color w:val="3F003F"/>
                    <w:w w:val="95"/>
                    <w:sz w:val="12"/>
                  </w:rPr>
                  <w:t>rptP3L-1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2.590637pt;margin-top:542.519958pt;width:775.679983pt;height:.6pt;mso-position-horizontal-relative:page;mso-position-vertical-relative:page;z-index:-31107072" filled="true" fillcolor="#000000" stroked="false">
          <v:fill type="solid"/>
          <w10:wrap type="none"/>
        </v:rect>
      </w:pict>
    </w:r>
    <w:r>
      <w:rPr/>
      <w:pict>
        <v:shape style="position:absolute;margin-left:42.668392pt;margin-top:544.258362pt;width:26.75pt;height:10pt;mso-position-horizontal-relative:page;mso-position-vertical-relative:page;z-index:-31106560" type="#_x0000_t202" filled="false" stroked="false">
          <v:textbox inset="0,0,0,0">
            <w:txbxContent>
              <w:p>
                <w:pPr>
                  <w:spacing w:line="181" w:lineRule="exact" w:before="0"/>
                  <w:ind w:left="20" w:right="0" w:firstLine="0"/>
                  <w:jc w:val="left"/>
                  <w:rPr>
                    <w:rFonts w:ascii="Verdana"/>
                    <w:sz w:val="16"/>
                  </w:rPr>
                </w:pPr>
                <w:r>
                  <w:rPr>
                    <w:rFonts w:ascii="Verdana"/>
                    <w:sz w:val="16"/>
                  </w:rPr>
                  <w:t>Str.11</w:t>
                </w:r>
              </w:p>
            </w:txbxContent>
          </v:textbox>
          <w10:wrap type="none"/>
        </v:shape>
      </w:pict>
    </w:r>
    <w:r>
      <w:rPr/>
      <w:pict>
        <v:shape style="position:absolute;margin-left:725.950684pt;margin-top:543.951965pt;width:76.55pt;height:21.85pt;mso-position-horizontal-relative:page;mso-position-vertical-relative:page;z-index:-31106048" type="#_x0000_t202" filled="false" stroked="false">
          <v:textbox inset="0,0,0,0">
            <w:txbxContent>
              <w:p>
                <w:pPr>
                  <w:spacing w:line="187" w:lineRule="exact" w:before="0"/>
                  <w:ind w:left="20" w:right="0" w:firstLine="0"/>
                  <w:jc w:val="left"/>
                  <w:rPr>
                    <w:sz w:val="16"/>
                  </w:rPr>
                </w:pPr>
                <w:r>
                  <w:rPr>
                    <w:sz w:val="16"/>
                  </w:rPr>
                  <w:t>Informatička</w:t>
                </w:r>
                <w:r>
                  <w:rPr>
                    <w:spacing w:val="-4"/>
                    <w:sz w:val="16"/>
                  </w:rPr>
                  <w:t> </w:t>
                </w:r>
                <w:r>
                  <w:rPr>
                    <w:sz w:val="16"/>
                  </w:rPr>
                  <w:t>obrada:</w:t>
                </w:r>
              </w:p>
              <w:p>
                <w:pPr>
                  <w:spacing w:before="36"/>
                  <w:ind w:left="411" w:right="0" w:firstLine="0"/>
                  <w:jc w:val="left"/>
                  <w:rPr>
                    <w:rFonts w:ascii="Verdana"/>
                    <w:sz w:val="16"/>
                  </w:rPr>
                </w:pPr>
                <w:r>
                  <w:rPr>
                    <w:rFonts w:ascii="Verdana"/>
                    <w:sz w:val="16"/>
                  </w:rPr>
                  <w:t>Municipal</w:t>
                </w:r>
                <w:r>
                  <w:rPr>
                    <w:rFonts w:ascii="Verdana"/>
                    <w:color w:val="FF0000"/>
                    <w:sz w:val="16"/>
                  </w:rPr>
                  <w:t>Soft</w:t>
                </w:r>
              </w:p>
            </w:txbxContent>
          </v:textbox>
          <w10:wrap type="none"/>
        </v:shape>
      </w:pict>
    </w:r>
    <w:r>
      <w:rPr/>
      <w:pict>
        <v:shape style="position:absolute;margin-left:680.110718pt;margin-top:558.019775pt;width:24pt;height:8pt;mso-position-horizontal-relative:page;mso-position-vertical-relative:page;z-index:-31105536" type="#_x0000_t202" filled="false" stroked="false">
          <v:textbox inset="0,0,0,0">
            <w:txbxContent>
              <w:p>
                <w:pPr>
                  <w:spacing w:line="137" w:lineRule="exact" w:before="0"/>
                  <w:ind w:left="20" w:right="0" w:firstLine="0"/>
                  <w:jc w:val="left"/>
                  <w:rPr>
                    <w:rFonts w:ascii="Trebuchet MS"/>
                    <w:sz w:val="12"/>
                  </w:rPr>
                </w:pPr>
                <w:r>
                  <w:rPr>
                    <w:rFonts w:ascii="Trebuchet MS"/>
                    <w:color w:val="3F003F"/>
                    <w:w w:val="95"/>
                    <w:sz w:val="12"/>
                  </w:rPr>
                  <w:t>rptP3L-1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668392pt;margin-top:544.258362pt;width:28.75pt;height:10pt;mso-position-horizontal-relative:page;mso-position-vertical-relative:page;z-index:-31105024" type="#_x0000_t202" filled="false" stroked="false">
          <v:textbox inset="0,0,0,0">
            <w:txbxContent>
              <w:p>
                <w:pPr>
                  <w:spacing w:line="181" w:lineRule="exact" w:before="0"/>
                  <w:ind w:left="20" w:right="0" w:firstLine="0"/>
                  <w:jc w:val="left"/>
                  <w:rPr>
                    <w:rFonts w:ascii="Verdana"/>
                    <w:sz w:val="16"/>
                  </w:rPr>
                </w:pPr>
                <w:r>
                  <w:rPr>
                    <w:rFonts w:ascii="Verdana"/>
                    <w:sz w:val="16"/>
                  </w:rPr>
                  <w:t>Str.</w:t>
                </w:r>
                <w:r>
                  <w:rPr/>
                  <w:fldChar w:fldCharType="begin"/>
                </w:r>
                <w:r>
                  <w:rPr>
                    <w:rFonts w:ascii="Verdana"/>
                    <w:sz w:val="16"/>
                  </w:rPr>
                  <w:instrText> PAGE </w:instrText>
                </w:r>
                <w:r>
                  <w:rPr/>
                  <w:fldChar w:fldCharType="separate"/>
                </w:r>
                <w:r>
                  <w:rPr/>
                  <w:t>12</w:t>
                </w:r>
                <w:r>
                  <w:rPr/>
                  <w:fldChar w:fldCharType="end"/>
                </w:r>
              </w:p>
            </w:txbxContent>
          </v:textbox>
          <w10:wrap type="none"/>
        </v:shape>
      </w:pict>
    </w:r>
    <w:r>
      <w:rPr/>
      <w:pict>
        <v:shape style="position:absolute;margin-left:725.950684pt;margin-top:543.951965pt;width:76.55pt;height:21.85pt;mso-position-horizontal-relative:page;mso-position-vertical-relative:page;z-index:-31104512" type="#_x0000_t202" filled="false" stroked="false">
          <v:textbox inset="0,0,0,0">
            <w:txbxContent>
              <w:p>
                <w:pPr>
                  <w:spacing w:line="187" w:lineRule="exact" w:before="0"/>
                  <w:ind w:left="20" w:right="0" w:firstLine="0"/>
                  <w:jc w:val="left"/>
                  <w:rPr>
                    <w:sz w:val="16"/>
                  </w:rPr>
                </w:pPr>
                <w:r>
                  <w:rPr>
                    <w:sz w:val="16"/>
                  </w:rPr>
                  <w:t>Informatička</w:t>
                </w:r>
                <w:r>
                  <w:rPr>
                    <w:spacing w:val="-4"/>
                    <w:sz w:val="16"/>
                  </w:rPr>
                  <w:t> </w:t>
                </w:r>
                <w:r>
                  <w:rPr>
                    <w:sz w:val="16"/>
                  </w:rPr>
                  <w:t>obrada:</w:t>
                </w:r>
              </w:p>
              <w:p>
                <w:pPr>
                  <w:spacing w:before="36"/>
                  <w:ind w:left="411" w:right="0" w:firstLine="0"/>
                  <w:jc w:val="left"/>
                  <w:rPr>
                    <w:rFonts w:ascii="Verdana"/>
                    <w:sz w:val="16"/>
                  </w:rPr>
                </w:pPr>
                <w:r>
                  <w:rPr>
                    <w:rFonts w:ascii="Verdana"/>
                    <w:sz w:val="16"/>
                  </w:rPr>
                  <w:t>Municipal</w:t>
                </w:r>
                <w:r>
                  <w:rPr>
                    <w:rFonts w:ascii="Verdana"/>
                    <w:color w:val="FF0000"/>
                    <w:sz w:val="16"/>
                  </w:rPr>
                  <w:t>Soft</w:t>
                </w:r>
              </w:p>
            </w:txbxContent>
          </v:textbox>
          <w10:wrap type="none"/>
        </v:shape>
      </w:pict>
    </w:r>
    <w:r>
      <w:rPr/>
      <w:pict>
        <v:shape style="position:absolute;margin-left:680.110718pt;margin-top:558.019775pt;width:24pt;height:8pt;mso-position-horizontal-relative:page;mso-position-vertical-relative:page;z-index:-31104000" type="#_x0000_t202" filled="false" stroked="false">
          <v:textbox inset="0,0,0,0">
            <w:txbxContent>
              <w:p>
                <w:pPr>
                  <w:spacing w:line="137" w:lineRule="exact" w:before="0"/>
                  <w:ind w:left="20" w:right="0" w:firstLine="0"/>
                  <w:jc w:val="left"/>
                  <w:rPr>
                    <w:rFonts w:ascii="Trebuchet MS"/>
                    <w:sz w:val="12"/>
                  </w:rPr>
                </w:pPr>
                <w:r>
                  <w:rPr>
                    <w:rFonts w:ascii="Trebuchet MS"/>
                    <w:color w:val="3F003F"/>
                    <w:w w:val="95"/>
                    <w:sz w:val="12"/>
                  </w:rPr>
                  <w:t>rptP3L-1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2.590637pt;margin-top:542.519958pt;width:775.679983pt;height:.6pt;mso-position-horizontal-relative:page;mso-position-vertical-relative:page;z-index:-31103488" filled="true" fillcolor="#000000" stroked="false">
          <v:fill type="solid"/>
          <w10:wrap type="none"/>
        </v:rect>
      </w:pict>
    </w:r>
    <w:r>
      <w:rPr/>
      <w:pict>
        <v:shape style="position:absolute;margin-left:42.668629pt;margin-top:543.935547pt;width:28.75pt;height:10.35pt;mso-position-horizontal-relative:page;mso-position-vertical-relative:page;z-index:-31102976" type="#_x0000_t202" filled="false" stroked="false">
          <v:textbox inset="0,0,0,0">
            <w:txbxContent>
              <w:p>
                <w:pPr>
                  <w:spacing w:line="188" w:lineRule="exact" w:before="0"/>
                  <w:ind w:left="20" w:right="0" w:firstLine="0"/>
                  <w:jc w:val="left"/>
                  <w:rPr>
                    <w:rFonts w:ascii="Verdana"/>
                    <w:sz w:val="16"/>
                  </w:rPr>
                </w:pPr>
                <w:r>
                  <w:rPr>
                    <w:rFonts w:ascii="Verdana"/>
                    <w:sz w:val="16"/>
                  </w:rPr>
                  <w:t>Str.</w:t>
                </w:r>
                <w:r>
                  <w:rPr/>
                  <w:fldChar w:fldCharType="begin"/>
                </w:r>
                <w:r>
                  <w:rPr>
                    <w:rFonts w:ascii="Verdana"/>
                    <w:sz w:val="16"/>
                  </w:rPr>
                  <w:instrText> PAGE </w:instrText>
                </w:r>
                <w:r>
                  <w:rPr/>
                  <w:fldChar w:fldCharType="separate"/>
                </w:r>
                <w:r>
                  <w:rPr/>
                  <w:t>17</w:t>
                </w:r>
                <w:r>
                  <w:rPr/>
                  <w:fldChar w:fldCharType="end"/>
                </w:r>
              </w:p>
            </w:txbxContent>
          </v:textbox>
          <w10:wrap type="none"/>
        </v:shape>
      </w:pict>
    </w:r>
    <w:r>
      <w:rPr/>
      <w:pict>
        <v:shape style="position:absolute;margin-left:725.950684pt;margin-top:543.951965pt;width:76.55pt;height:21.85pt;mso-position-horizontal-relative:page;mso-position-vertical-relative:page;z-index:-31102464" type="#_x0000_t202" filled="false" stroked="false">
          <v:textbox inset="0,0,0,0">
            <w:txbxContent>
              <w:p>
                <w:pPr>
                  <w:spacing w:line="187" w:lineRule="exact" w:before="0"/>
                  <w:ind w:left="20" w:right="0" w:firstLine="0"/>
                  <w:jc w:val="left"/>
                  <w:rPr>
                    <w:sz w:val="16"/>
                  </w:rPr>
                </w:pPr>
                <w:r>
                  <w:rPr>
                    <w:sz w:val="16"/>
                  </w:rPr>
                  <w:t>Informatička</w:t>
                </w:r>
                <w:r>
                  <w:rPr>
                    <w:spacing w:val="-4"/>
                    <w:sz w:val="16"/>
                  </w:rPr>
                  <w:t> </w:t>
                </w:r>
                <w:r>
                  <w:rPr>
                    <w:sz w:val="16"/>
                  </w:rPr>
                  <w:t>obrada:</w:t>
                </w:r>
              </w:p>
              <w:p>
                <w:pPr>
                  <w:spacing w:before="36"/>
                  <w:ind w:left="411" w:right="0" w:firstLine="0"/>
                  <w:jc w:val="left"/>
                  <w:rPr>
                    <w:rFonts w:ascii="Verdana"/>
                    <w:sz w:val="16"/>
                  </w:rPr>
                </w:pPr>
                <w:r>
                  <w:rPr>
                    <w:rFonts w:ascii="Verdana"/>
                    <w:sz w:val="16"/>
                  </w:rPr>
                  <w:t>Municipal</w:t>
                </w:r>
                <w:r>
                  <w:rPr>
                    <w:rFonts w:ascii="Verdana"/>
                    <w:color w:val="FF0000"/>
                    <w:sz w:val="16"/>
                  </w:rPr>
                  <w:t>Soft</w:t>
                </w:r>
              </w:p>
            </w:txbxContent>
          </v:textbox>
          <w10:wrap type="none"/>
        </v:shape>
      </w:pict>
    </w:r>
    <w:r>
      <w:rPr/>
      <w:pict>
        <v:shape style="position:absolute;margin-left:680.110718pt;margin-top:558.019775pt;width:24pt;height:8pt;mso-position-horizontal-relative:page;mso-position-vertical-relative:page;z-index:-31101952" type="#_x0000_t202" filled="false" stroked="false">
          <v:textbox inset="0,0,0,0">
            <w:txbxContent>
              <w:p>
                <w:pPr>
                  <w:spacing w:line="137" w:lineRule="exact" w:before="0"/>
                  <w:ind w:left="20" w:right="0" w:firstLine="0"/>
                  <w:jc w:val="left"/>
                  <w:rPr>
                    <w:rFonts w:ascii="Trebuchet MS"/>
                    <w:sz w:val="12"/>
                  </w:rPr>
                </w:pPr>
                <w:r>
                  <w:rPr>
                    <w:rFonts w:ascii="Trebuchet MS"/>
                    <w:color w:val="3F003F"/>
                    <w:w w:val="95"/>
                    <w:sz w:val="12"/>
                  </w:rPr>
                  <w:t>rptP3L-1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399994pt;margin-top:791.832642pt;width:18pt;height:15.3pt;mso-position-horizontal-relative:page;mso-position-vertical-relative:page;z-index:-31101440"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lowerLetter"/>
      <w:lvlText w:val="%1)"/>
      <w:lvlJc w:val="left"/>
      <w:pPr>
        <w:ind w:left="1935" w:hanging="320"/>
        <w:jc w:val="left"/>
      </w:pPr>
      <w:rPr>
        <w:rFonts w:hint="default" w:ascii="Times New Roman" w:hAnsi="Times New Roman" w:eastAsia="Times New Roman" w:cs="Times New Roman"/>
        <w:b/>
        <w:bCs/>
        <w:spacing w:val="-4"/>
        <w:w w:val="100"/>
        <w:sz w:val="24"/>
        <w:szCs w:val="24"/>
        <w:lang w:val="bs" w:eastAsia="en-US" w:bidi="ar-SA"/>
      </w:rPr>
    </w:lvl>
    <w:lvl w:ilvl="1">
      <w:start w:val="0"/>
      <w:numFmt w:val="bullet"/>
      <w:lvlText w:val="•"/>
      <w:lvlJc w:val="left"/>
      <w:pPr>
        <w:ind w:left="2918" w:hanging="320"/>
      </w:pPr>
      <w:rPr>
        <w:rFonts w:hint="default"/>
        <w:lang w:val="bs" w:eastAsia="en-US" w:bidi="ar-SA"/>
      </w:rPr>
    </w:lvl>
    <w:lvl w:ilvl="2">
      <w:start w:val="0"/>
      <w:numFmt w:val="bullet"/>
      <w:lvlText w:val="•"/>
      <w:lvlJc w:val="left"/>
      <w:pPr>
        <w:ind w:left="3897" w:hanging="320"/>
      </w:pPr>
      <w:rPr>
        <w:rFonts w:hint="default"/>
        <w:lang w:val="bs" w:eastAsia="en-US" w:bidi="ar-SA"/>
      </w:rPr>
    </w:lvl>
    <w:lvl w:ilvl="3">
      <w:start w:val="0"/>
      <w:numFmt w:val="bullet"/>
      <w:lvlText w:val="•"/>
      <w:lvlJc w:val="left"/>
      <w:pPr>
        <w:ind w:left="4875" w:hanging="320"/>
      </w:pPr>
      <w:rPr>
        <w:rFonts w:hint="default"/>
        <w:lang w:val="bs" w:eastAsia="en-US" w:bidi="ar-SA"/>
      </w:rPr>
    </w:lvl>
    <w:lvl w:ilvl="4">
      <w:start w:val="0"/>
      <w:numFmt w:val="bullet"/>
      <w:lvlText w:val="•"/>
      <w:lvlJc w:val="left"/>
      <w:pPr>
        <w:ind w:left="5854" w:hanging="320"/>
      </w:pPr>
      <w:rPr>
        <w:rFonts w:hint="default"/>
        <w:lang w:val="bs" w:eastAsia="en-US" w:bidi="ar-SA"/>
      </w:rPr>
    </w:lvl>
    <w:lvl w:ilvl="5">
      <w:start w:val="0"/>
      <w:numFmt w:val="bullet"/>
      <w:lvlText w:val="•"/>
      <w:lvlJc w:val="left"/>
      <w:pPr>
        <w:ind w:left="6832" w:hanging="320"/>
      </w:pPr>
      <w:rPr>
        <w:rFonts w:hint="default"/>
        <w:lang w:val="bs" w:eastAsia="en-US" w:bidi="ar-SA"/>
      </w:rPr>
    </w:lvl>
    <w:lvl w:ilvl="6">
      <w:start w:val="0"/>
      <w:numFmt w:val="bullet"/>
      <w:lvlText w:val="•"/>
      <w:lvlJc w:val="left"/>
      <w:pPr>
        <w:ind w:left="7811" w:hanging="320"/>
      </w:pPr>
      <w:rPr>
        <w:rFonts w:hint="default"/>
        <w:lang w:val="bs" w:eastAsia="en-US" w:bidi="ar-SA"/>
      </w:rPr>
    </w:lvl>
    <w:lvl w:ilvl="7">
      <w:start w:val="0"/>
      <w:numFmt w:val="bullet"/>
      <w:lvlText w:val="•"/>
      <w:lvlJc w:val="left"/>
      <w:pPr>
        <w:ind w:left="8789" w:hanging="320"/>
      </w:pPr>
      <w:rPr>
        <w:rFonts w:hint="default"/>
        <w:lang w:val="bs" w:eastAsia="en-US" w:bidi="ar-SA"/>
      </w:rPr>
    </w:lvl>
    <w:lvl w:ilvl="8">
      <w:start w:val="0"/>
      <w:numFmt w:val="bullet"/>
      <w:lvlText w:val="•"/>
      <w:lvlJc w:val="left"/>
      <w:pPr>
        <w:ind w:left="9768" w:hanging="320"/>
      </w:pPr>
      <w:rPr>
        <w:rFonts w:hint="default"/>
        <w:lang w:val="bs" w:eastAsia="en-US" w:bidi="ar-SA"/>
      </w:rPr>
    </w:lvl>
  </w:abstractNum>
  <w:abstractNum w:abstractNumId="2">
    <w:multiLevelType w:val="hybridMultilevel"/>
    <w:lvl w:ilvl="0">
      <w:start w:val="0"/>
      <w:numFmt w:val="bullet"/>
      <w:lvlText w:val=""/>
      <w:lvlJc w:val="left"/>
      <w:pPr>
        <w:ind w:left="1616" w:hanging="360"/>
      </w:pPr>
      <w:rPr>
        <w:rFonts w:hint="default" w:ascii="Symbol" w:hAnsi="Symbol" w:eastAsia="Symbol" w:cs="Symbol"/>
        <w:w w:val="100"/>
        <w:sz w:val="24"/>
        <w:szCs w:val="24"/>
        <w:lang w:val="bs" w:eastAsia="en-US" w:bidi="ar-SA"/>
      </w:rPr>
    </w:lvl>
    <w:lvl w:ilvl="1">
      <w:start w:val="0"/>
      <w:numFmt w:val="bullet"/>
      <w:lvlText w:val="•"/>
      <w:lvlJc w:val="left"/>
      <w:pPr>
        <w:ind w:left="1620" w:hanging="360"/>
      </w:pPr>
      <w:rPr>
        <w:rFonts w:hint="default"/>
        <w:lang w:val="bs" w:eastAsia="en-US" w:bidi="ar-SA"/>
      </w:rPr>
    </w:lvl>
    <w:lvl w:ilvl="2">
      <w:start w:val="0"/>
      <w:numFmt w:val="bullet"/>
      <w:lvlText w:val="•"/>
      <w:lvlJc w:val="left"/>
      <w:pPr>
        <w:ind w:left="2742" w:hanging="360"/>
      </w:pPr>
      <w:rPr>
        <w:rFonts w:hint="default"/>
        <w:lang w:val="bs" w:eastAsia="en-US" w:bidi="ar-SA"/>
      </w:rPr>
    </w:lvl>
    <w:lvl w:ilvl="3">
      <w:start w:val="0"/>
      <w:numFmt w:val="bullet"/>
      <w:lvlText w:val="•"/>
      <w:lvlJc w:val="left"/>
      <w:pPr>
        <w:ind w:left="3865" w:hanging="360"/>
      </w:pPr>
      <w:rPr>
        <w:rFonts w:hint="default"/>
        <w:lang w:val="bs" w:eastAsia="en-US" w:bidi="ar-SA"/>
      </w:rPr>
    </w:lvl>
    <w:lvl w:ilvl="4">
      <w:start w:val="0"/>
      <w:numFmt w:val="bullet"/>
      <w:lvlText w:val="•"/>
      <w:lvlJc w:val="left"/>
      <w:pPr>
        <w:ind w:left="4988" w:hanging="360"/>
      </w:pPr>
      <w:rPr>
        <w:rFonts w:hint="default"/>
        <w:lang w:val="bs" w:eastAsia="en-US" w:bidi="ar-SA"/>
      </w:rPr>
    </w:lvl>
    <w:lvl w:ilvl="5">
      <w:start w:val="0"/>
      <w:numFmt w:val="bullet"/>
      <w:lvlText w:val="•"/>
      <w:lvlJc w:val="left"/>
      <w:pPr>
        <w:ind w:left="6111" w:hanging="360"/>
      </w:pPr>
      <w:rPr>
        <w:rFonts w:hint="default"/>
        <w:lang w:val="bs" w:eastAsia="en-US" w:bidi="ar-SA"/>
      </w:rPr>
    </w:lvl>
    <w:lvl w:ilvl="6">
      <w:start w:val="0"/>
      <w:numFmt w:val="bullet"/>
      <w:lvlText w:val="•"/>
      <w:lvlJc w:val="left"/>
      <w:pPr>
        <w:ind w:left="7234" w:hanging="360"/>
      </w:pPr>
      <w:rPr>
        <w:rFonts w:hint="default"/>
        <w:lang w:val="bs" w:eastAsia="en-US" w:bidi="ar-SA"/>
      </w:rPr>
    </w:lvl>
    <w:lvl w:ilvl="7">
      <w:start w:val="0"/>
      <w:numFmt w:val="bullet"/>
      <w:lvlText w:val="•"/>
      <w:lvlJc w:val="left"/>
      <w:pPr>
        <w:ind w:left="8357" w:hanging="360"/>
      </w:pPr>
      <w:rPr>
        <w:rFonts w:hint="default"/>
        <w:lang w:val="bs" w:eastAsia="en-US" w:bidi="ar-SA"/>
      </w:rPr>
    </w:lvl>
    <w:lvl w:ilvl="8">
      <w:start w:val="0"/>
      <w:numFmt w:val="bullet"/>
      <w:lvlText w:val="•"/>
      <w:lvlJc w:val="left"/>
      <w:pPr>
        <w:ind w:left="9479" w:hanging="360"/>
      </w:pPr>
      <w:rPr>
        <w:rFonts w:hint="default"/>
        <w:lang w:val="bs" w:eastAsia="en-US" w:bidi="ar-SA"/>
      </w:rPr>
    </w:lvl>
  </w:abstractNum>
  <w:abstractNum w:abstractNumId="1">
    <w:multiLevelType w:val="hybridMultilevel"/>
    <w:lvl w:ilvl="0">
      <w:start w:val="1"/>
      <w:numFmt w:val="decimal"/>
      <w:lvlText w:val="%1."/>
      <w:lvlJc w:val="left"/>
      <w:pPr>
        <w:ind w:left="1964" w:hanging="708"/>
        <w:jc w:val="right"/>
      </w:pPr>
      <w:rPr>
        <w:rFonts w:hint="default" w:ascii="Times New Roman" w:hAnsi="Times New Roman" w:eastAsia="Times New Roman" w:cs="Times New Roman"/>
        <w:b/>
        <w:bCs/>
        <w:spacing w:val="-3"/>
        <w:w w:val="100"/>
        <w:sz w:val="24"/>
        <w:szCs w:val="24"/>
        <w:lang w:val="bs" w:eastAsia="en-US" w:bidi="ar-SA"/>
      </w:rPr>
    </w:lvl>
    <w:lvl w:ilvl="1">
      <w:start w:val="0"/>
      <w:numFmt w:val="bullet"/>
      <w:lvlText w:val="•"/>
      <w:lvlJc w:val="left"/>
      <w:pPr>
        <w:ind w:left="2936" w:hanging="708"/>
      </w:pPr>
      <w:rPr>
        <w:rFonts w:hint="default"/>
        <w:lang w:val="bs" w:eastAsia="en-US" w:bidi="ar-SA"/>
      </w:rPr>
    </w:lvl>
    <w:lvl w:ilvl="2">
      <w:start w:val="0"/>
      <w:numFmt w:val="bullet"/>
      <w:lvlText w:val="•"/>
      <w:lvlJc w:val="left"/>
      <w:pPr>
        <w:ind w:left="3913" w:hanging="708"/>
      </w:pPr>
      <w:rPr>
        <w:rFonts w:hint="default"/>
        <w:lang w:val="bs" w:eastAsia="en-US" w:bidi="ar-SA"/>
      </w:rPr>
    </w:lvl>
    <w:lvl w:ilvl="3">
      <w:start w:val="0"/>
      <w:numFmt w:val="bullet"/>
      <w:lvlText w:val="•"/>
      <w:lvlJc w:val="left"/>
      <w:pPr>
        <w:ind w:left="4889" w:hanging="708"/>
      </w:pPr>
      <w:rPr>
        <w:rFonts w:hint="default"/>
        <w:lang w:val="bs" w:eastAsia="en-US" w:bidi="ar-SA"/>
      </w:rPr>
    </w:lvl>
    <w:lvl w:ilvl="4">
      <w:start w:val="0"/>
      <w:numFmt w:val="bullet"/>
      <w:lvlText w:val="•"/>
      <w:lvlJc w:val="left"/>
      <w:pPr>
        <w:ind w:left="5866" w:hanging="708"/>
      </w:pPr>
      <w:rPr>
        <w:rFonts w:hint="default"/>
        <w:lang w:val="bs" w:eastAsia="en-US" w:bidi="ar-SA"/>
      </w:rPr>
    </w:lvl>
    <w:lvl w:ilvl="5">
      <w:start w:val="0"/>
      <w:numFmt w:val="bullet"/>
      <w:lvlText w:val="•"/>
      <w:lvlJc w:val="left"/>
      <w:pPr>
        <w:ind w:left="6842" w:hanging="708"/>
      </w:pPr>
      <w:rPr>
        <w:rFonts w:hint="default"/>
        <w:lang w:val="bs" w:eastAsia="en-US" w:bidi="ar-SA"/>
      </w:rPr>
    </w:lvl>
    <w:lvl w:ilvl="6">
      <w:start w:val="0"/>
      <w:numFmt w:val="bullet"/>
      <w:lvlText w:val="•"/>
      <w:lvlJc w:val="left"/>
      <w:pPr>
        <w:ind w:left="7819" w:hanging="708"/>
      </w:pPr>
      <w:rPr>
        <w:rFonts w:hint="default"/>
        <w:lang w:val="bs" w:eastAsia="en-US" w:bidi="ar-SA"/>
      </w:rPr>
    </w:lvl>
    <w:lvl w:ilvl="7">
      <w:start w:val="0"/>
      <w:numFmt w:val="bullet"/>
      <w:lvlText w:val="•"/>
      <w:lvlJc w:val="left"/>
      <w:pPr>
        <w:ind w:left="8795" w:hanging="708"/>
      </w:pPr>
      <w:rPr>
        <w:rFonts w:hint="default"/>
        <w:lang w:val="bs" w:eastAsia="en-US" w:bidi="ar-SA"/>
      </w:rPr>
    </w:lvl>
    <w:lvl w:ilvl="8">
      <w:start w:val="0"/>
      <w:numFmt w:val="bullet"/>
      <w:lvlText w:val="•"/>
      <w:lvlJc w:val="left"/>
      <w:pPr>
        <w:ind w:left="9772" w:hanging="708"/>
      </w:pPr>
      <w:rPr>
        <w:rFonts w:hint="default"/>
        <w:lang w:val="bs" w:eastAsia="en-US" w:bidi="ar-SA"/>
      </w:rPr>
    </w:lvl>
  </w:abstractNum>
  <w:abstractNum w:abstractNumId="0">
    <w:multiLevelType w:val="hybridMultilevel"/>
    <w:lvl w:ilvl="0">
      <w:start w:val="1"/>
      <w:numFmt w:val="decimal"/>
      <w:lvlText w:val="%1."/>
      <w:lvlJc w:val="left"/>
      <w:pPr>
        <w:ind w:left="469" w:hanging="360"/>
        <w:jc w:val="left"/>
      </w:pPr>
      <w:rPr>
        <w:rFonts w:hint="default" w:ascii="Times New Roman" w:hAnsi="Times New Roman" w:eastAsia="Times New Roman" w:cs="Times New Roman"/>
        <w:spacing w:val="-1"/>
        <w:w w:val="99"/>
        <w:sz w:val="24"/>
        <w:szCs w:val="24"/>
        <w:lang w:val="bs" w:eastAsia="en-US" w:bidi="ar-SA"/>
      </w:rPr>
    </w:lvl>
    <w:lvl w:ilvl="1">
      <w:start w:val="1"/>
      <w:numFmt w:val="decimal"/>
      <w:lvlText w:val="%2."/>
      <w:lvlJc w:val="left"/>
      <w:pPr>
        <w:ind w:left="1616" w:hanging="360"/>
        <w:jc w:val="left"/>
      </w:pPr>
      <w:rPr>
        <w:rFonts w:hint="default" w:ascii="Times New Roman" w:hAnsi="Times New Roman" w:eastAsia="Times New Roman" w:cs="Times New Roman"/>
        <w:spacing w:val="-8"/>
        <w:w w:val="100"/>
        <w:sz w:val="24"/>
        <w:szCs w:val="24"/>
        <w:lang w:val="bs" w:eastAsia="en-US" w:bidi="ar-SA"/>
      </w:rPr>
    </w:lvl>
    <w:lvl w:ilvl="2">
      <w:start w:val="0"/>
      <w:numFmt w:val="bullet"/>
      <w:lvlText w:val="•"/>
      <w:lvlJc w:val="left"/>
      <w:pPr>
        <w:ind w:left="2566" w:hanging="360"/>
      </w:pPr>
      <w:rPr>
        <w:rFonts w:hint="default"/>
        <w:lang w:val="bs" w:eastAsia="en-US" w:bidi="ar-SA"/>
      </w:rPr>
    </w:lvl>
    <w:lvl w:ilvl="3">
      <w:start w:val="0"/>
      <w:numFmt w:val="bullet"/>
      <w:lvlText w:val="•"/>
      <w:lvlJc w:val="left"/>
      <w:pPr>
        <w:ind w:left="3513" w:hanging="360"/>
      </w:pPr>
      <w:rPr>
        <w:rFonts w:hint="default"/>
        <w:lang w:val="bs" w:eastAsia="en-US" w:bidi="ar-SA"/>
      </w:rPr>
    </w:lvl>
    <w:lvl w:ilvl="4">
      <w:start w:val="0"/>
      <w:numFmt w:val="bullet"/>
      <w:lvlText w:val="•"/>
      <w:lvlJc w:val="left"/>
      <w:pPr>
        <w:ind w:left="4460" w:hanging="360"/>
      </w:pPr>
      <w:rPr>
        <w:rFonts w:hint="default"/>
        <w:lang w:val="bs" w:eastAsia="en-US" w:bidi="ar-SA"/>
      </w:rPr>
    </w:lvl>
    <w:lvl w:ilvl="5">
      <w:start w:val="0"/>
      <w:numFmt w:val="bullet"/>
      <w:lvlText w:val="•"/>
      <w:lvlJc w:val="left"/>
      <w:pPr>
        <w:ind w:left="5406" w:hanging="360"/>
      </w:pPr>
      <w:rPr>
        <w:rFonts w:hint="default"/>
        <w:lang w:val="bs" w:eastAsia="en-US" w:bidi="ar-SA"/>
      </w:rPr>
    </w:lvl>
    <w:lvl w:ilvl="6">
      <w:start w:val="0"/>
      <w:numFmt w:val="bullet"/>
      <w:lvlText w:val="•"/>
      <w:lvlJc w:val="left"/>
      <w:pPr>
        <w:ind w:left="6353" w:hanging="360"/>
      </w:pPr>
      <w:rPr>
        <w:rFonts w:hint="default"/>
        <w:lang w:val="bs" w:eastAsia="en-US" w:bidi="ar-SA"/>
      </w:rPr>
    </w:lvl>
    <w:lvl w:ilvl="7">
      <w:start w:val="0"/>
      <w:numFmt w:val="bullet"/>
      <w:lvlText w:val="•"/>
      <w:lvlJc w:val="left"/>
      <w:pPr>
        <w:ind w:left="7300" w:hanging="360"/>
      </w:pPr>
      <w:rPr>
        <w:rFonts w:hint="default"/>
        <w:lang w:val="bs" w:eastAsia="en-US" w:bidi="ar-SA"/>
      </w:rPr>
    </w:lvl>
    <w:lvl w:ilvl="8">
      <w:start w:val="0"/>
      <w:numFmt w:val="bullet"/>
      <w:lvlText w:val="•"/>
      <w:lvlJc w:val="left"/>
      <w:pPr>
        <w:ind w:left="8246" w:hanging="360"/>
      </w:pPr>
      <w:rPr>
        <w:rFonts w:hint="default"/>
        <w:lang w:val="b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b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bs" w:eastAsia="en-US" w:bidi="ar-SA"/>
    </w:rPr>
  </w:style>
  <w:style w:styleId="Heading1" w:type="paragraph">
    <w:name w:val="Heading 1"/>
    <w:basedOn w:val="Normal"/>
    <w:uiPriority w:val="1"/>
    <w:qFormat/>
    <w:pPr>
      <w:ind w:left="1256" w:hanging="708"/>
      <w:outlineLvl w:val="1"/>
    </w:pPr>
    <w:rPr>
      <w:rFonts w:ascii="Times New Roman" w:hAnsi="Times New Roman" w:eastAsia="Times New Roman" w:cs="Times New Roman"/>
      <w:b/>
      <w:bCs/>
      <w:sz w:val="24"/>
      <w:szCs w:val="24"/>
      <w:lang w:val="bs" w:eastAsia="en-US" w:bidi="ar-SA"/>
    </w:rPr>
  </w:style>
  <w:style w:styleId="ListParagraph" w:type="paragraph">
    <w:name w:val="List Paragraph"/>
    <w:basedOn w:val="Normal"/>
    <w:uiPriority w:val="1"/>
    <w:qFormat/>
    <w:pPr>
      <w:ind w:left="1616" w:hanging="360"/>
    </w:pPr>
    <w:rPr>
      <w:rFonts w:ascii="Times New Roman" w:hAnsi="Times New Roman" w:eastAsia="Times New Roman" w:cs="Times New Roman"/>
      <w:lang w:val="bs" w:eastAsia="en-US" w:bidi="ar-SA"/>
    </w:rPr>
  </w:style>
  <w:style w:styleId="TableParagraph" w:type="paragraph">
    <w:name w:val="Table Paragraph"/>
    <w:basedOn w:val="Normal"/>
    <w:uiPriority w:val="1"/>
    <w:qFormat/>
    <w:pPr>
      <w:spacing w:before="10"/>
      <w:jc w:val="right"/>
    </w:pPr>
    <w:rPr>
      <w:rFonts w:ascii="Tahoma" w:hAnsi="Tahoma" w:eastAsia="Tahoma" w:cs="Tahoma"/>
      <w:lang w:val="b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2020-09-28T08:56:34Z</dcterms:created>
  <dcterms:modified xsi:type="dcterms:W3CDTF">2020-09-28T08:56:34Z</dcterms:modified>
</cp:coreProperties>
</file>

<file path=docProps/custom.xml><?xml version="1.0" encoding="utf-8"?>
<Properties xmlns="http://schemas.openxmlformats.org/officeDocument/2006/custom-properties" xmlns:vt="http://schemas.openxmlformats.org/officeDocument/2006/docPropsVTypes"/>
</file>